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6354" w14:textId="06027623" w:rsidR="00D51084" w:rsidRDefault="00D6127E">
      <w:pPr>
        <w:rPr>
          <w:rFonts w:ascii="Arial" w:hAnsi="Arial" w:cs="Arial"/>
        </w:rPr>
      </w:pPr>
      <w:r w:rsidRPr="00D6127E">
        <w:rPr>
          <w:rFonts w:ascii="Arial" w:hAnsi="Arial" w:cs="Arial"/>
        </w:rPr>
        <w:t>Livre blanc canadien de la vision</w:t>
      </w:r>
      <w:r w:rsidR="00E209BE">
        <w:rPr>
          <w:rFonts w:ascii="Arial" w:hAnsi="Arial" w:cs="Arial"/>
        </w:rPr>
        <w:t> </w:t>
      </w:r>
      <w:r w:rsidRPr="00D6127E">
        <w:rPr>
          <w:rFonts w:ascii="Arial" w:hAnsi="Arial" w:cs="Arial"/>
        </w:rPr>
        <w:t>2020</w:t>
      </w:r>
    </w:p>
    <w:p w14:paraId="310E55F9" w14:textId="77777777" w:rsidR="00BA0388" w:rsidRDefault="00BA0388">
      <w:pPr>
        <w:rPr>
          <w:rFonts w:ascii="Arial" w:hAnsi="Arial" w:cs="Arial"/>
        </w:rPr>
      </w:pPr>
    </w:p>
    <w:p w14:paraId="026C7CB3" w14:textId="1C10BA63" w:rsidR="00553F10" w:rsidRPr="00087C00" w:rsidRDefault="00553F10" w:rsidP="00553F10">
      <w:pPr>
        <w:pBdr>
          <w:bottom w:val="single" w:sz="4" w:space="1" w:color="000000"/>
        </w:pBdr>
        <w:rPr>
          <w:rFonts w:ascii="Arial" w:eastAsia="Cambria" w:hAnsi="Arial" w:cs="Arial"/>
        </w:rPr>
      </w:pPr>
      <w:r>
        <w:rPr>
          <w:rFonts w:ascii="Arial" w:eastAsia="Cambria" w:hAnsi="Arial" w:cs="Arial"/>
        </w:rPr>
        <w:t>ÉQUITÉ</w:t>
      </w:r>
      <w:r w:rsidR="004D354E">
        <w:rPr>
          <w:rFonts w:ascii="Arial" w:eastAsia="Cambria" w:hAnsi="Arial" w:cs="Arial"/>
        </w:rPr>
        <w:t xml:space="preserve"> ET ACCÈS</w:t>
      </w:r>
      <w:r>
        <w:rPr>
          <w:rFonts w:ascii="Arial" w:eastAsia="Cambria" w:hAnsi="Arial" w:cs="Arial"/>
        </w:rPr>
        <w:t xml:space="preserve"> EN MATIÈRE DE SOINS DE LA VUE</w:t>
      </w:r>
    </w:p>
    <w:p w14:paraId="16F88F95" w14:textId="77777777" w:rsidR="00553F10" w:rsidRPr="00087C00" w:rsidRDefault="00553F10" w:rsidP="00553F10">
      <w:pPr>
        <w:rPr>
          <w:rFonts w:ascii="Arial" w:eastAsia="Cambria" w:hAnsi="Arial" w:cs="Arial"/>
        </w:rPr>
      </w:pPr>
    </w:p>
    <w:p w14:paraId="030CA957" w14:textId="09674544" w:rsidR="00BA0388" w:rsidRDefault="00BA0388">
      <w:pPr>
        <w:rPr>
          <w:rFonts w:ascii="Arial" w:hAnsi="Arial" w:cs="Arial"/>
        </w:rPr>
      </w:pPr>
      <w:r>
        <w:rPr>
          <w:rFonts w:ascii="Arial" w:hAnsi="Arial" w:cs="Arial"/>
        </w:rPr>
        <w:t xml:space="preserve">Créé par Tommy Douglas </w:t>
      </w:r>
      <w:r w:rsidRPr="00585E89">
        <w:rPr>
          <w:rFonts w:ascii="Arial" w:hAnsi="Arial" w:cs="Arial"/>
        </w:rPr>
        <w:t>en</w:t>
      </w:r>
      <w:r>
        <w:rPr>
          <w:rFonts w:ascii="Arial" w:hAnsi="Arial" w:cs="Arial"/>
        </w:rPr>
        <w:t xml:space="preserve"> Saskatchewan</w:t>
      </w:r>
      <w:r w:rsidR="00363B12">
        <w:rPr>
          <w:rFonts w:ascii="Arial" w:hAnsi="Arial" w:cs="Arial"/>
        </w:rPr>
        <w:t xml:space="preserve"> dans les années 1960</w:t>
      </w:r>
      <w:r>
        <w:rPr>
          <w:rFonts w:ascii="Arial" w:hAnsi="Arial" w:cs="Arial"/>
        </w:rPr>
        <w:t>, le système de soins de santé du Canada fait depuis lors la fierté de notre pays</w:t>
      </w:r>
      <w:r>
        <w:rPr>
          <w:rStyle w:val="Appelnotedebasdep"/>
          <w:rFonts w:ascii="Arial" w:hAnsi="Arial" w:cs="Arial"/>
        </w:rPr>
        <w:footnoteReference w:id="1"/>
      </w:r>
      <w:r>
        <w:rPr>
          <w:rFonts w:ascii="Arial" w:hAnsi="Arial" w:cs="Arial"/>
        </w:rPr>
        <w:t xml:space="preserve">. </w:t>
      </w:r>
      <w:r w:rsidR="00363B12">
        <w:rPr>
          <w:rFonts w:ascii="Arial" w:hAnsi="Arial" w:cs="Arial"/>
        </w:rPr>
        <w:t>Néanmoins</w:t>
      </w:r>
      <w:r>
        <w:rPr>
          <w:rFonts w:ascii="Arial" w:hAnsi="Arial" w:cs="Arial"/>
        </w:rPr>
        <w:t xml:space="preserve">, de nombreux commentateurs et analystes des politiques </w:t>
      </w:r>
      <w:r w:rsidR="00363B12">
        <w:rPr>
          <w:rFonts w:ascii="Arial" w:hAnsi="Arial" w:cs="Arial"/>
        </w:rPr>
        <w:t>ne manquent pas de faire remarquer</w:t>
      </w:r>
      <w:r>
        <w:rPr>
          <w:rFonts w:ascii="Arial" w:hAnsi="Arial" w:cs="Arial"/>
        </w:rPr>
        <w:t xml:space="preserve"> que notre système a mal vieilli, particulièrement en ce qui a trait au traitement des maladies chroniques, </w:t>
      </w:r>
      <w:r w:rsidR="0099501F" w:rsidRPr="00047373">
        <w:rPr>
          <w:rFonts w:ascii="Arial" w:hAnsi="Arial" w:cs="Arial"/>
        </w:rPr>
        <w:t>à la tenue de</w:t>
      </w:r>
      <w:r w:rsidR="0099501F">
        <w:rPr>
          <w:rFonts w:ascii="Arial" w:hAnsi="Arial" w:cs="Arial"/>
        </w:rPr>
        <w:t xml:space="preserve"> dossiers électroniques, à l’accès aux soins pharmaceutiques, à l’adoption de thérapies géniques et d’autres traitements personnalisés, ainsi que dans d’autres domaines.</w:t>
      </w:r>
    </w:p>
    <w:p w14:paraId="17C91F63" w14:textId="77777777" w:rsidR="0099501F" w:rsidRDefault="0099501F">
      <w:pPr>
        <w:rPr>
          <w:rFonts w:ascii="Arial" w:hAnsi="Arial" w:cs="Arial"/>
        </w:rPr>
      </w:pPr>
    </w:p>
    <w:p w14:paraId="19C5D5F6" w14:textId="24DCADAB" w:rsidR="0099501F" w:rsidRDefault="0099501F">
      <w:pPr>
        <w:rPr>
          <w:rFonts w:ascii="Arial" w:hAnsi="Arial" w:cs="Arial"/>
        </w:rPr>
      </w:pPr>
      <w:r>
        <w:rPr>
          <w:rFonts w:ascii="Arial" w:hAnsi="Arial" w:cs="Arial"/>
        </w:rPr>
        <w:t xml:space="preserve">Parallèlement, les soins de santé étant </w:t>
      </w:r>
      <w:r w:rsidR="00E209BE">
        <w:rPr>
          <w:rFonts w:ascii="Arial" w:hAnsi="Arial" w:cs="Arial"/>
        </w:rPr>
        <w:t>assurés</w:t>
      </w:r>
      <w:r>
        <w:rPr>
          <w:rFonts w:ascii="Arial" w:hAnsi="Arial" w:cs="Arial"/>
        </w:rPr>
        <w:t xml:space="preserve"> par chaque province ou territoire canadien – </w:t>
      </w:r>
      <w:r w:rsidR="00363B12">
        <w:rPr>
          <w:rFonts w:ascii="Arial" w:hAnsi="Arial" w:cs="Arial"/>
        </w:rPr>
        <w:t>soit</w:t>
      </w:r>
      <w:r>
        <w:rPr>
          <w:rFonts w:ascii="Arial" w:hAnsi="Arial" w:cs="Arial"/>
        </w:rPr>
        <w:t>, dans les faits, treize microsystèmes distincts –</w:t>
      </w:r>
      <w:r w:rsidR="00585E89">
        <w:rPr>
          <w:rFonts w:ascii="Arial" w:hAnsi="Arial" w:cs="Arial"/>
        </w:rPr>
        <w:t>,</w:t>
      </w:r>
      <w:r>
        <w:rPr>
          <w:rFonts w:ascii="Arial" w:hAnsi="Arial" w:cs="Arial"/>
        </w:rPr>
        <w:t xml:space="preserve"> des problèmes et des disparités </w:t>
      </w:r>
      <w:r w:rsidR="00585E89">
        <w:rPr>
          <w:rFonts w:ascii="Arial" w:hAnsi="Arial" w:cs="Arial"/>
        </w:rPr>
        <w:t>ont entraîné</w:t>
      </w:r>
      <w:r>
        <w:rPr>
          <w:rFonts w:ascii="Arial" w:hAnsi="Arial" w:cs="Arial"/>
        </w:rPr>
        <w:t xml:space="preserve"> des inégalités en matière d</w:t>
      </w:r>
      <w:r w:rsidR="00153BD4">
        <w:rPr>
          <w:rFonts w:ascii="Arial" w:hAnsi="Arial" w:cs="Arial"/>
        </w:rPr>
        <w:t xml:space="preserve">e soins dans certains contextes. </w:t>
      </w:r>
      <w:r w:rsidR="00363B12">
        <w:rPr>
          <w:rFonts w:ascii="Arial" w:hAnsi="Arial" w:cs="Arial"/>
        </w:rPr>
        <w:t xml:space="preserve">Nos systèmes de réglementation </w:t>
      </w:r>
      <w:r w:rsidR="000D29F7">
        <w:rPr>
          <w:rFonts w:ascii="Arial" w:hAnsi="Arial" w:cs="Arial"/>
        </w:rPr>
        <w:t xml:space="preserve">ont eux aussi </w:t>
      </w:r>
      <w:r w:rsidR="00363B12">
        <w:rPr>
          <w:rFonts w:ascii="Arial" w:hAnsi="Arial" w:cs="Arial"/>
        </w:rPr>
        <w:t>leurs particularités</w:t>
      </w:r>
      <w:r w:rsidR="000D29F7">
        <w:rPr>
          <w:rFonts w:ascii="Arial" w:hAnsi="Arial" w:cs="Arial"/>
        </w:rPr>
        <w:t xml:space="preserve"> : ainsi, les nouveaux traitements </w:t>
      </w:r>
      <w:r w:rsidR="00363B12">
        <w:rPr>
          <w:rFonts w:ascii="Arial" w:hAnsi="Arial" w:cs="Arial"/>
        </w:rPr>
        <w:t>sont soumis à l’approbation de</w:t>
      </w:r>
      <w:r w:rsidR="00585E89">
        <w:rPr>
          <w:rFonts w:ascii="Arial" w:hAnsi="Arial" w:cs="Arial"/>
        </w:rPr>
        <w:t xml:space="preserve"> quatre agences </w:t>
      </w:r>
      <w:r w:rsidR="004F5FCA">
        <w:rPr>
          <w:rFonts w:ascii="Arial" w:hAnsi="Arial" w:cs="Arial"/>
        </w:rPr>
        <w:t>fédéral</w:t>
      </w:r>
      <w:r w:rsidR="00585E89">
        <w:rPr>
          <w:rFonts w:ascii="Arial" w:hAnsi="Arial" w:cs="Arial"/>
        </w:rPr>
        <w:t xml:space="preserve">es </w:t>
      </w:r>
      <w:r w:rsidR="000D29F7">
        <w:rPr>
          <w:rFonts w:ascii="Arial" w:hAnsi="Arial" w:cs="Arial"/>
        </w:rPr>
        <w:t>avant que des recommandations soient transmises aux provinces et aux territoires</w:t>
      </w:r>
      <w:r w:rsidR="00363B12">
        <w:rPr>
          <w:rFonts w:ascii="Arial" w:hAnsi="Arial" w:cs="Arial"/>
        </w:rPr>
        <w:t xml:space="preserve"> à des fins de financement public</w:t>
      </w:r>
      <w:r w:rsidR="000D29F7">
        <w:rPr>
          <w:rFonts w:ascii="Arial" w:hAnsi="Arial" w:cs="Arial"/>
        </w:rPr>
        <w:t xml:space="preserve">. Ce cadre vise à garantir la sécurité et </w:t>
      </w:r>
      <w:r w:rsidR="00585E89">
        <w:rPr>
          <w:rFonts w:ascii="Arial" w:hAnsi="Arial" w:cs="Arial"/>
        </w:rPr>
        <w:t xml:space="preserve">le rapport </w:t>
      </w:r>
      <w:r w:rsidR="00284039">
        <w:rPr>
          <w:rFonts w:ascii="Arial" w:hAnsi="Arial" w:cs="Arial"/>
        </w:rPr>
        <w:t>coût-efficacité</w:t>
      </w:r>
      <w:r w:rsidR="000D29F7">
        <w:rPr>
          <w:rFonts w:ascii="Arial" w:hAnsi="Arial" w:cs="Arial"/>
        </w:rPr>
        <w:t xml:space="preserve"> des médicaments et des technologies, </w:t>
      </w:r>
      <w:r w:rsidR="00ED139D">
        <w:rPr>
          <w:rFonts w:ascii="Arial" w:hAnsi="Arial" w:cs="Arial"/>
        </w:rPr>
        <w:t>mais il reste que le Canada adopte les nouveaux traitements plus tardivement que nombre d’autres pays.</w:t>
      </w:r>
    </w:p>
    <w:p w14:paraId="3988821C" w14:textId="77777777" w:rsidR="00ED139D" w:rsidRDefault="00ED139D">
      <w:pPr>
        <w:rPr>
          <w:rFonts w:ascii="Arial" w:hAnsi="Arial" w:cs="Arial"/>
        </w:rPr>
      </w:pPr>
    </w:p>
    <w:p w14:paraId="687126CE" w14:textId="0BBC865A" w:rsidR="00ED139D" w:rsidRPr="008F2EAC" w:rsidRDefault="00691A0A">
      <w:pPr>
        <w:rPr>
          <w:rFonts w:ascii="Arial" w:hAnsi="Arial" w:cs="Arial"/>
          <w:b/>
        </w:rPr>
      </w:pPr>
      <w:r>
        <w:rPr>
          <w:rFonts w:ascii="Arial" w:hAnsi="Arial" w:cs="Arial"/>
        </w:rPr>
        <w:t xml:space="preserve">Ces systèmes affectent les </w:t>
      </w:r>
      <w:r w:rsidR="006629B7">
        <w:rPr>
          <w:rFonts w:ascii="Arial" w:hAnsi="Arial" w:cs="Arial"/>
        </w:rPr>
        <w:t xml:space="preserve">Canadiennes et </w:t>
      </w:r>
      <w:r>
        <w:rPr>
          <w:rFonts w:ascii="Arial" w:hAnsi="Arial" w:cs="Arial"/>
        </w:rPr>
        <w:t xml:space="preserve">Canadiens vivant avec une perte de la vision </w:t>
      </w:r>
      <w:r w:rsidR="00B62268">
        <w:rPr>
          <w:rFonts w:ascii="Arial" w:hAnsi="Arial" w:cs="Arial"/>
        </w:rPr>
        <w:t>à divers égards</w:t>
      </w:r>
      <w:r w:rsidR="000658F3">
        <w:rPr>
          <w:rFonts w:ascii="Arial" w:hAnsi="Arial" w:cs="Arial"/>
        </w:rPr>
        <w:t xml:space="preserve"> –</w:t>
      </w:r>
      <w:r>
        <w:rPr>
          <w:rFonts w:ascii="Arial" w:hAnsi="Arial" w:cs="Arial"/>
        </w:rPr>
        <w:t xml:space="preserve"> parfois favorablement, si un traitement s’avère largement accessible et </w:t>
      </w:r>
      <w:r w:rsidR="000658F3">
        <w:rPr>
          <w:rFonts w:ascii="Arial" w:hAnsi="Arial" w:cs="Arial"/>
        </w:rPr>
        <w:t>pris en charge</w:t>
      </w:r>
      <w:r>
        <w:rPr>
          <w:rFonts w:ascii="Arial" w:hAnsi="Arial" w:cs="Arial"/>
        </w:rPr>
        <w:t xml:space="preserve">. Mais </w:t>
      </w:r>
      <w:r w:rsidR="00B62268">
        <w:rPr>
          <w:rFonts w:ascii="Arial" w:hAnsi="Arial" w:cs="Arial"/>
        </w:rPr>
        <w:t>plusieurs</w:t>
      </w:r>
      <w:r>
        <w:rPr>
          <w:rFonts w:ascii="Arial" w:hAnsi="Arial" w:cs="Arial"/>
        </w:rPr>
        <w:t xml:space="preserve"> aspects de notre recherche en santé de la vision et de notre système de santé </w:t>
      </w:r>
      <w:r w:rsidR="000D78BA">
        <w:rPr>
          <w:rFonts w:ascii="Arial" w:hAnsi="Arial" w:cs="Arial"/>
        </w:rPr>
        <w:t>doivent évoluer et recevoir du soutien</w:t>
      </w:r>
      <w:r>
        <w:rPr>
          <w:rFonts w:ascii="Arial" w:hAnsi="Arial" w:cs="Arial"/>
        </w:rPr>
        <w:t xml:space="preserve">, notamment les essais cliniques, les nouveaux médicaments </w:t>
      </w:r>
      <w:r w:rsidR="000658F3">
        <w:rPr>
          <w:rFonts w:ascii="Arial" w:hAnsi="Arial" w:cs="Arial"/>
        </w:rPr>
        <w:t>destinés à traiter</w:t>
      </w:r>
      <w:r>
        <w:rPr>
          <w:rFonts w:ascii="Arial" w:hAnsi="Arial" w:cs="Arial"/>
        </w:rPr>
        <w:t xml:space="preserve"> les maladies rares et, plus généralement, la recherche et le développement. S’appuyant sur des réponses à un sondage réalisé au sein de la communauté des personnes touchées par la perte de la vision (</w:t>
      </w:r>
      <w:r w:rsidR="003D3566">
        <w:rPr>
          <w:rFonts w:ascii="Arial" w:hAnsi="Arial" w:cs="Arial"/>
        </w:rPr>
        <w:t xml:space="preserve">patientes et </w:t>
      </w:r>
      <w:r>
        <w:rPr>
          <w:rFonts w:ascii="Arial" w:hAnsi="Arial" w:cs="Arial"/>
        </w:rPr>
        <w:t xml:space="preserve">patients, </w:t>
      </w:r>
      <w:r w:rsidR="008F2EAC">
        <w:rPr>
          <w:rFonts w:ascii="Arial" w:hAnsi="Arial" w:cs="Arial"/>
        </w:rPr>
        <w:t xml:space="preserve">proches aidants, </w:t>
      </w:r>
      <w:r w:rsidR="003D3566">
        <w:rPr>
          <w:rFonts w:ascii="Arial" w:hAnsi="Arial" w:cs="Arial"/>
        </w:rPr>
        <w:t>travailleuses et travailleurs</w:t>
      </w:r>
      <w:r w:rsidR="008F2EAC">
        <w:rPr>
          <w:rFonts w:ascii="Arial" w:hAnsi="Arial" w:cs="Arial"/>
        </w:rPr>
        <w:t xml:space="preserve"> de la santé, </w:t>
      </w:r>
      <w:r w:rsidR="003D3566">
        <w:rPr>
          <w:rFonts w:ascii="Arial" w:hAnsi="Arial" w:cs="Arial"/>
        </w:rPr>
        <w:t xml:space="preserve">chercheuses et </w:t>
      </w:r>
      <w:r w:rsidR="008F2EAC">
        <w:rPr>
          <w:rFonts w:ascii="Arial" w:hAnsi="Arial" w:cs="Arial"/>
        </w:rPr>
        <w:t xml:space="preserve">chercheurs, etc.), </w:t>
      </w:r>
      <w:r w:rsidR="008F2EAC" w:rsidRPr="008F2EAC">
        <w:rPr>
          <w:rFonts w:ascii="Arial" w:hAnsi="Arial" w:cs="Arial"/>
          <w:b/>
        </w:rPr>
        <w:t>ce livre blanc profite du caractère symbolique de l’année</w:t>
      </w:r>
      <w:r w:rsidR="00E209BE">
        <w:rPr>
          <w:rFonts w:ascii="Arial" w:hAnsi="Arial" w:cs="Arial"/>
          <w:b/>
        </w:rPr>
        <w:t> </w:t>
      </w:r>
      <w:r w:rsidR="008F2EAC" w:rsidRPr="008F2EAC">
        <w:rPr>
          <w:rFonts w:ascii="Arial" w:hAnsi="Arial" w:cs="Arial"/>
          <w:b/>
        </w:rPr>
        <w:t>2020</w:t>
      </w:r>
      <w:r w:rsidRPr="008F2EAC">
        <w:rPr>
          <w:rFonts w:ascii="Arial" w:hAnsi="Arial" w:cs="Arial"/>
          <w:b/>
        </w:rPr>
        <w:t xml:space="preserve"> </w:t>
      </w:r>
      <w:r w:rsidR="008F2EAC" w:rsidRPr="008F2EAC">
        <w:rPr>
          <w:rFonts w:ascii="Arial" w:hAnsi="Arial" w:cs="Arial"/>
          <w:b/>
        </w:rPr>
        <w:t xml:space="preserve">pour faire le point sur les questions d’accès et d’équité en matière de soins de la vue au Canada. Il vise en outre à déterminer les possibilités d’amélioration à </w:t>
      </w:r>
      <w:r w:rsidR="003147BC">
        <w:rPr>
          <w:rFonts w:ascii="Arial" w:hAnsi="Arial" w:cs="Arial"/>
          <w:b/>
        </w:rPr>
        <w:t>l’aube d’</w:t>
      </w:r>
      <w:r w:rsidR="008F2EAC" w:rsidRPr="008F2EAC">
        <w:rPr>
          <w:rFonts w:ascii="Arial" w:hAnsi="Arial" w:cs="Arial"/>
          <w:b/>
        </w:rPr>
        <w:t>une nouvelle décennie pleine de promesses pour les sciences de la vision et l’élaboration de politiques dans ce domaine.</w:t>
      </w:r>
    </w:p>
    <w:p w14:paraId="308308B3" w14:textId="77777777" w:rsidR="008F2EAC" w:rsidRDefault="008F2EAC">
      <w:pPr>
        <w:rPr>
          <w:rFonts w:ascii="Arial" w:hAnsi="Arial" w:cs="Arial"/>
        </w:rPr>
      </w:pPr>
    </w:p>
    <w:p w14:paraId="28DA4F75" w14:textId="4A3E1B0F" w:rsidR="008F2EAC" w:rsidRPr="00B06732" w:rsidRDefault="008F2EAC">
      <w:pPr>
        <w:rPr>
          <w:rFonts w:ascii="Arial" w:hAnsi="Arial" w:cs="Arial"/>
          <w:i/>
        </w:rPr>
      </w:pPr>
      <w:r w:rsidRPr="00B06732">
        <w:rPr>
          <w:rFonts w:ascii="Arial" w:hAnsi="Arial" w:cs="Arial"/>
          <w:i/>
        </w:rPr>
        <w:t>Accès</w:t>
      </w:r>
      <w:r w:rsidR="00C71383" w:rsidRPr="00B06732">
        <w:rPr>
          <w:rFonts w:ascii="Arial" w:hAnsi="Arial" w:cs="Arial"/>
          <w:i/>
        </w:rPr>
        <w:t xml:space="preserve"> aux traitements et services actuels</w:t>
      </w:r>
    </w:p>
    <w:p w14:paraId="49D6A328" w14:textId="77777777" w:rsidR="00C71383" w:rsidRDefault="00C71383">
      <w:pPr>
        <w:rPr>
          <w:rFonts w:ascii="Arial" w:hAnsi="Arial" w:cs="Arial"/>
        </w:rPr>
      </w:pPr>
    </w:p>
    <w:p w14:paraId="4BA0ED02" w14:textId="5A7AE763" w:rsidR="00C71383" w:rsidRDefault="00B06732">
      <w:pPr>
        <w:rPr>
          <w:rFonts w:ascii="Arial" w:hAnsi="Arial" w:cs="Arial"/>
        </w:rPr>
      </w:pPr>
      <w:r>
        <w:rPr>
          <w:rFonts w:ascii="Arial" w:hAnsi="Arial" w:cs="Arial"/>
        </w:rPr>
        <w:t xml:space="preserve">Le Canada est le seul pays industrialisé dont le système de soins de santé universel ne dispose pas d’un régime d’assurance-médicaments universel. Des </w:t>
      </w:r>
      <w:r w:rsidRPr="00927096">
        <w:rPr>
          <w:rFonts w:ascii="Arial" w:hAnsi="Arial" w:cs="Arial"/>
        </w:rPr>
        <w:t>régimes publics</w:t>
      </w:r>
      <w:r>
        <w:rPr>
          <w:rFonts w:ascii="Arial" w:hAnsi="Arial" w:cs="Arial"/>
        </w:rPr>
        <w:t xml:space="preserve"> spécialisés sont proposés aux personnes </w:t>
      </w:r>
      <w:r w:rsidR="002F5E35">
        <w:rPr>
          <w:rFonts w:ascii="Arial" w:hAnsi="Arial" w:cs="Arial"/>
        </w:rPr>
        <w:t>qui se trouvent dans</w:t>
      </w:r>
      <w:r>
        <w:rPr>
          <w:rFonts w:ascii="Arial" w:hAnsi="Arial" w:cs="Arial"/>
        </w:rPr>
        <w:t xml:space="preserve"> certaines catégories ou situations et s’ajoutent </w:t>
      </w:r>
      <w:r w:rsidR="002F5E35">
        <w:rPr>
          <w:rFonts w:ascii="Arial" w:hAnsi="Arial" w:cs="Arial"/>
        </w:rPr>
        <w:t xml:space="preserve">aux nombreux régimes privés. Si environ </w:t>
      </w:r>
      <w:r>
        <w:rPr>
          <w:rFonts w:ascii="Arial" w:hAnsi="Arial" w:cs="Arial"/>
        </w:rPr>
        <w:t>80</w:t>
      </w:r>
      <w:r w:rsidR="00E209BE">
        <w:rPr>
          <w:rFonts w:ascii="Arial" w:hAnsi="Arial" w:cs="Arial"/>
        </w:rPr>
        <w:t> </w:t>
      </w:r>
      <w:r>
        <w:rPr>
          <w:rFonts w:ascii="Arial" w:hAnsi="Arial" w:cs="Arial"/>
        </w:rPr>
        <w:t xml:space="preserve">% des </w:t>
      </w:r>
      <w:r w:rsidR="003147BC">
        <w:rPr>
          <w:rFonts w:ascii="Arial" w:hAnsi="Arial" w:cs="Arial"/>
        </w:rPr>
        <w:t xml:space="preserve">Canadiennes et </w:t>
      </w:r>
      <w:r>
        <w:rPr>
          <w:rFonts w:ascii="Arial" w:hAnsi="Arial" w:cs="Arial"/>
        </w:rPr>
        <w:t>Canadiens</w:t>
      </w:r>
      <w:r w:rsidR="002F5E35">
        <w:rPr>
          <w:rFonts w:ascii="Arial" w:hAnsi="Arial" w:cs="Arial"/>
        </w:rPr>
        <w:t xml:space="preserve"> sont couverts, </w:t>
      </w:r>
      <w:r w:rsidRPr="00140C3E">
        <w:rPr>
          <w:rFonts w:ascii="Arial" w:hAnsi="Arial" w:cs="Arial"/>
        </w:rPr>
        <w:t xml:space="preserve">cette offre hétéroclite prive un cinquième de la population </w:t>
      </w:r>
      <w:r w:rsidR="002F5E35">
        <w:rPr>
          <w:rFonts w:ascii="Arial" w:hAnsi="Arial" w:cs="Arial"/>
        </w:rPr>
        <w:t>du pays</w:t>
      </w:r>
      <w:r w:rsidRPr="00140C3E">
        <w:rPr>
          <w:rFonts w:ascii="Arial" w:hAnsi="Arial" w:cs="Arial"/>
        </w:rPr>
        <w:t xml:space="preserve"> d’assurance-médicaments ou d’un régime </w:t>
      </w:r>
      <w:r w:rsidRPr="00140C3E">
        <w:rPr>
          <w:rFonts w:ascii="Arial" w:hAnsi="Arial" w:cs="Arial"/>
        </w:rPr>
        <w:lastRenderedPageBreak/>
        <w:t>adapté</w:t>
      </w:r>
      <w:r w:rsidRPr="00140C3E">
        <w:rPr>
          <w:rStyle w:val="Appelnotedebasdep"/>
          <w:rFonts w:ascii="Arial" w:hAnsi="Arial" w:cs="Arial"/>
        </w:rPr>
        <w:footnoteReference w:id="2"/>
      </w:r>
      <w:r>
        <w:rPr>
          <w:rFonts w:ascii="Arial" w:hAnsi="Arial" w:cs="Arial"/>
        </w:rPr>
        <w:t xml:space="preserve">. </w:t>
      </w:r>
      <w:r w:rsidR="00EA14AA">
        <w:rPr>
          <w:rFonts w:ascii="Arial" w:hAnsi="Arial" w:cs="Arial"/>
        </w:rPr>
        <w:t xml:space="preserve">Ce fragment </w:t>
      </w:r>
      <w:r w:rsidR="00D411F1">
        <w:rPr>
          <w:rFonts w:ascii="Arial" w:hAnsi="Arial" w:cs="Arial"/>
        </w:rPr>
        <w:t>comprend bien sûr d</w:t>
      </w:r>
      <w:r w:rsidR="00EA14AA">
        <w:rPr>
          <w:rFonts w:ascii="Arial" w:hAnsi="Arial" w:cs="Arial"/>
        </w:rPr>
        <w:t xml:space="preserve">es personnes qui ont besoin de médicaments pour traiter leurs troubles de la vision, </w:t>
      </w:r>
      <w:r w:rsidR="00140C3E">
        <w:rPr>
          <w:rFonts w:ascii="Arial" w:hAnsi="Arial" w:cs="Arial"/>
        </w:rPr>
        <w:t>par exemple</w:t>
      </w:r>
      <w:r w:rsidR="00EA14AA">
        <w:rPr>
          <w:rFonts w:ascii="Arial" w:hAnsi="Arial" w:cs="Arial"/>
        </w:rPr>
        <w:t xml:space="preserve"> les </w:t>
      </w:r>
      <w:r w:rsidR="003D3566">
        <w:rPr>
          <w:rFonts w:ascii="Arial" w:hAnsi="Arial" w:cs="Arial"/>
        </w:rPr>
        <w:t xml:space="preserve">patientes et </w:t>
      </w:r>
      <w:r w:rsidR="00EA14AA">
        <w:rPr>
          <w:rFonts w:ascii="Arial" w:hAnsi="Arial" w:cs="Arial"/>
        </w:rPr>
        <w:t xml:space="preserve">patients atteints de glaucome, de rétinopathie diabétique, de dégénérescence maculaire liée à l’âge, etc. </w:t>
      </w:r>
      <w:r w:rsidR="00213D7B">
        <w:rPr>
          <w:rFonts w:ascii="Arial" w:hAnsi="Arial" w:cs="Arial"/>
        </w:rPr>
        <w:t xml:space="preserve">Évoquant le régime d’assurance-médicaments ou la création de nouveaux </w:t>
      </w:r>
      <w:r w:rsidR="00213D7B" w:rsidRPr="00927096">
        <w:rPr>
          <w:rFonts w:ascii="Arial" w:hAnsi="Arial" w:cs="Arial"/>
        </w:rPr>
        <w:t>programmes publics</w:t>
      </w:r>
      <w:r w:rsidR="00213D7B">
        <w:rPr>
          <w:rFonts w:ascii="Arial" w:hAnsi="Arial" w:cs="Arial"/>
        </w:rPr>
        <w:t xml:space="preserve">, de nombreux membres de la communauté ont souligné l’importance d’étendre la couverture aux personnes qui peinent actuellement à accéder aux traitements existants, et ce, </w:t>
      </w:r>
      <w:r w:rsidR="001A7DD6">
        <w:rPr>
          <w:rFonts w:ascii="Arial" w:hAnsi="Arial" w:cs="Arial"/>
        </w:rPr>
        <w:t>quelle que soit</w:t>
      </w:r>
      <w:r w:rsidR="001534B5">
        <w:rPr>
          <w:rFonts w:ascii="Arial" w:hAnsi="Arial" w:cs="Arial"/>
        </w:rPr>
        <w:t xml:space="preserve"> leur situation socioéconomique. </w:t>
      </w:r>
    </w:p>
    <w:p w14:paraId="1187C755" w14:textId="77777777" w:rsidR="008A170D" w:rsidRDefault="008A170D">
      <w:pPr>
        <w:rPr>
          <w:rFonts w:ascii="Arial" w:hAnsi="Arial" w:cs="Arial"/>
        </w:rPr>
      </w:pPr>
    </w:p>
    <w:p w14:paraId="5FFF67D3" w14:textId="762ACD8A" w:rsidR="008A170D" w:rsidRDefault="008A170D">
      <w:pPr>
        <w:rPr>
          <w:rFonts w:ascii="Arial" w:hAnsi="Arial" w:cs="Arial"/>
        </w:rPr>
      </w:pPr>
      <w:r>
        <w:rPr>
          <w:rFonts w:ascii="Arial" w:hAnsi="Arial" w:cs="Arial"/>
        </w:rPr>
        <w:t xml:space="preserve">Il existe en outre d’autres obstacles qui privent certains patients </w:t>
      </w:r>
      <w:r w:rsidR="003D3566">
        <w:rPr>
          <w:rFonts w:ascii="Arial" w:hAnsi="Arial" w:cs="Arial"/>
        </w:rPr>
        <w:t xml:space="preserve">et patientes </w:t>
      </w:r>
      <w:r>
        <w:rPr>
          <w:rFonts w:ascii="Arial" w:hAnsi="Arial" w:cs="Arial"/>
        </w:rPr>
        <w:t xml:space="preserve">d’un accès équitable aux soins. Plusieurs membres de la communauté ont cité le transport parmi les obstacles majeurs, en particulier pour les personnes vivant dans les régions rurales et isolées du Canada. Les </w:t>
      </w:r>
      <w:r w:rsidR="003D3566">
        <w:rPr>
          <w:rFonts w:ascii="Arial" w:hAnsi="Arial" w:cs="Arial"/>
        </w:rPr>
        <w:t xml:space="preserve">patientes et </w:t>
      </w:r>
      <w:r>
        <w:rPr>
          <w:rFonts w:ascii="Arial" w:hAnsi="Arial" w:cs="Arial"/>
        </w:rPr>
        <w:t>patients atteints de dégénérescence maculaire liée à l’âge (DMLA) exsudative ou d’œdème maculaire diabétique (OMD), par e</w:t>
      </w:r>
      <w:r w:rsidR="002D0C7C">
        <w:rPr>
          <w:rFonts w:ascii="Arial" w:hAnsi="Arial" w:cs="Arial"/>
        </w:rPr>
        <w:t xml:space="preserve">xemple, dépendent d’injections </w:t>
      </w:r>
      <w:r>
        <w:rPr>
          <w:rFonts w:ascii="Arial" w:hAnsi="Arial" w:cs="Arial"/>
        </w:rPr>
        <w:t>de médicament anti-VEGF</w:t>
      </w:r>
      <w:r w:rsidR="00B73D7D">
        <w:rPr>
          <w:rFonts w:ascii="Arial" w:hAnsi="Arial" w:cs="Arial"/>
        </w:rPr>
        <w:t xml:space="preserve"> mensuelles à trimestrielles </w:t>
      </w:r>
      <w:r>
        <w:rPr>
          <w:rFonts w:ascii="Arial" w:hAnsi="Arial" w:cs="Arial"/>
        </w:rPr>
        <w:t>pou</w:t>
      </w:r>
      <w:r w:rsidR="002D0C7C">
        <w:rPr>
          <w:rFonts w:ascii="Arial" w:hAnsi="Arial" w:cs="Arial"/>
        </w:rPr>
        <w:t xml:space="preserve">r atténuer leur perte de vision. </w:t>
      </w:r>
      <w:r w:rsidR="00B73D7D">
        <w:rPr>
          <w:rFonts w:ascii="Arial" w:hAnsi="Arial" w:cs="Arial"/>
        </w:rPr>
        <w:t xml:space="preserve">Les déplacements peuvent rudement mettre à l’épreuve ces </w:t>
      </w:r>
      <w:r w:rsidR="003D3566">
        <w:rPr>
          <w:rFonts w:ascii="Arial" w:hAnsi="Arial" w:cs="Arial"/>
        </w:rPr>
        <w:t xml:space="preserve">patientes et </w:t>
      </w:r>
      <w:r w:rsidR="00B73D7D">
        <w:rPr>
          <w:rFonts w:ascii="Arial" w:hAnsi="Arial" w:cs="Arial"/>
        </w:rPr>
        <w:t>patients ou d’autres</w:t>
      </w:r>
      <w:r w:rsidR="002F5E35">
        <w:rPr>
          <w:rFonts w:ascii="Arial" w:hAnsi="Arial" w:cs="Arial"/>
        </w:rPr>
        <w:t xml:space="preserve"> personnes</w:t>
      </w:r>
      <w:r w:rsidR="00B73D7D">
        <w:rPr>
          <w:rFonts w:ascii="Arial" w:hAnsi="Arial" w:cs="Arial"/>
        </w:rPr>
        <w:t xml:space="preserve"> vivant des situations similaires, ainsi que les proches aidants qui prennent souvent des journées de congé pour les accompagner. </w:t>
      </w:r>
      <w:r w:rsidR="0093381E">
        <w:rPr>
          <w:rFonts w:ascii="Arial" w:hAnsi="Arial" w:cs="Arial"/>
        </w:rPr>
        <w:t xml:space="preserve">Pour ces raisons notamment, l’accès équitable aux services et aux médicaments existants constitue une préoccupation majeure pour les </w:t>
      </w:r>
      <w:r w:rsidR="003147BC">
        <w:rPr>
          <w:rFonts w:ascii="Arial" w:hAnsi="Arial" w:cs="Arial"/>
        </w:rPr>
        <w:t>personnes vivant dans les</w:t>
      </w:r>
      <w:r w:rsidR="0093381E">
        <w:rPr>
          <w:rFonts w:ascii="Arial" w:hAnsi="Arial" w:cs="Arial"/>
        </w:rPr>
        <w:t xml:space="preserve"> régions les plus isolées du Canada.</w:t>
      </w:r>
    </w:p>
    <w:p w14:paraId="6733855E" w14:textId="77777777" w:rsidR="0093381E" w:rsidRDefault="0093381E">
      <w:pPr>
        <w:rPr>
          <w:rFonts w:ascii="Arial" w:hAnsi="Arial" w:cs="Arial"/>
        </w:rPr>
      </w:pPr>
    </w:p>
    <w:p w14:paraId="4904BB71" w14:textId="631C108E" w:rsidR="007772C6" w:rsidRDefault="00883D5B">
      <w:pPr>
        <w:rPr>
          <w:rFonts w:ascii="Arial" w:hAnsi="Arial" w:cs="Arial"/>
        </w:rPr>
      </w:pPr>
      <w:r>
        <w:rPr>
          <w:rFonts w:ascii="Arial" w:hAnsi="Arial" w:cs="Arial"/>
        </w:rPr>
        <w:t xml:space="preserve">La réadaptation visuelle est un </w:t>
      </w:r>
      <w:r w:rsidR="001A7DD6">
        <w:rPr>
          <w:rFonts w:ascii="Arial" w:hAnsi="Arial" w:cs="Arial"/>
        </w:rPr>
        <w:t xml:space="preserve">aspect </w:t>
      </w:r>
      <w:r>
        <w:rPr>
          <w:rFonts w:ascii="Arial" w:hAnsi="Arial" w:cs="Arial"/>
        </w:rPr>
        <w:t xml:space="preserve">fondamental des soins de la vision, et l’accès à ces services </w:t>
      </w:r>
      <w:r w:rsidR="00B115B4">
        <w:rPr>
          <w:rFonts w:ascii="Arial" w:hAnsi="Arial" w:cs="Arial"/>
        </w:rPr>
        <w:t>pourrait lui aussi s’améliorer</w:t>
      </w:r>
      <w:r>
        <w:rPr>
          <w:rFonts w:ascii="Arial" w:hAnsi="Arial" w:cs="Arial"/>
        </w:rPr>
        <w:t xml:space="preserve">. </w:t>
      </w:r>
      <w:r w:rsidR="003025BD">
        <w:rPr>
          <w:rFonts w:ascii="Arial" w:hAnsi="Arial" w:cs="Arial"/>
        </w:rPr>
        <w:t xml:space="preserve">Dans les cas où les traitements sont inexistants ou </w:t>
      </w:r>
      <w:r w:rsidR="00EB09DF">
        <w:rPr>
          <w:rFonts w:ascii="Arial" w:hAnsi="Arial" w:cs="Arial"/>
        </w:rPr>
        <w:t>non souhaités</w:t>
      </w:r>
      <w:r w:rsidR="00DD7D81">
        <w:rPr>
          <w:rFonts w:ascii="Arial" w:hAnsi="Arial" w:cs="Arial"/>
        </w:rPr>
        <w:t>, l</w:t>
      </w:r>
      <w:r w:rsidR="003025BD">
        <w:rPr>
          <w:rFonts w:ascii="Arial" w:hAnsi="Arial" w:cs="Arial"/>
        </w:rPr>
        <w:t xml:space="preserve">es ressources aidant les </w:t>
      </w:r>
      <w:r w:rsidR="003D3566">
        <w:rPr>
          <w:rFonts w:ascii="Arial" w:hAnsi="Arial" w:cs="Arial"/>
        </w:rPr>
        <w:t xml:space="preserve">patientes et </w:t>
      </w:r>
      <w:r w:rsidR="003025BD">
        <w:rPr>
          <w:rFonts w:ascii="Arial" w:hAnsi="Arial" w:cs="Arial"/>
        </w:rPr>
        <w:t>patients à vivre avec leur perte de la vision, par exemple</w:t>
      </w:r>
      <w:r w:rsidR="0047634C">
        <w:rPr>
          <w:rFonts w:ascii="Arial" w:hAnsi="Arial" w:cs="Arial"/>
        </w:rPr>
        <w:t xml:space="preserve"> des cannes blanches, d</w:t>
      </w:r>
      <w:r w:rsidR="00A519E2">
        <w:rPr>
          <w:rFonts w:ascii="Arial" w:hAnsi="Arial" w:cs="Arial"/>
        </w:rPr>
        <w:t xml:space="preserve">es chiens-guides et </w:t>
      </w:r>
      <w:r w:rsidR="00DD7D81">
        <w:rPr>
          <w:rFonts w:ascii="Arial" w:hAnsi="Arial" w:cs="Arial"/>
        </w:rPr>
        <w:t>d</w:t>
      </w:r>
      <w:r w:rsidR="00A519E2">
        <w:rPr>
          <w:rFonts w:ascii="Arial" w:hAnsi="Arial" w:cs="Arial"/>
        </w:rPr>
        <w:t xml:space="preserve">es </w:t>
      </w:r>
      <w:r w:rsidR="003147BC">
        <w:rPr>
          <w:rFonts w:ascii="Arial" w:hAnsi="Arial" w:cs="Arial"/>
        </w:rPr>
        <w:t>technologies et services d’assistance</w:t>
      </w:r>
      <w:r w:rsidR="00A519E2">
        <w:rPr>
          <w:rFonts w:ascii="Arial" w:hAnsi="Arial" w:cs="Arial"/>
        </w:rPr>
        <w:t xml:space="preserve"> s’avèrent essentiels. </w:t>
      </w:r>
      <w:r w:rsidR="00E80EFE">
        <w:rPr>
          <w:rFonts w:ascii="Arial" w:hAnsi="Arial" w:cs="Arial"/>
        </w:rPr>
        <w:t>Bien souvent</w:t>
      </w:r>
      <w:r w:rsidR="00DD7D81">
        <w:rPr>
          <w:rFonts w:ascii="Arial" w:hAnsi="Arial" w:cs="Arial"/>
        </w:rPr>
        <w:t xml:space="preserve">, des membres de la communauté sollicitent ces services auprès d’organismes de bienfaisance tels que la Fondation INCA et BALANCE for Blind Adults. Mais dans les cas où des personnes souffrant de perte de la vision </w:t>
      </w:r>
      <w:r w:rsidR="001A7DD6">
        <w:rPr>
          <w:rFonts w:ascii="Arial" w:hAnsi="Arial" w:cs="Arial"/>
        </w:rPr>
        <w:t>éprouvent des difficultés pour</w:t>
      </w:r>
      <w:r w:rsidR="00DD7D81">
        <w:rPr>
          <w:rFonts w:ascii="Arial" w:hAnsi="Arial" w:cs="Arial"/>
        </w:rPr>
        <w:t xml:space="preserve"> accéder à la réadaptation (en raison d’obstacles liés au transport, à la santé mentale, à l’isolation, etc.), elles risquent</w:t>
      </w:r>
      <w:r w:rsidR="00C20C38">
        <w:rPr>
          <w:rFonts w:ascii="Arial" w:hAnsi="Arial" w:cs="Arial"/>
        </w:rPr>
        <w:t xml:space="preserve"> de se retrouver confrontées aux nombreux problèmes notoirement associés à la perte de la vision : isolement social, dépression, chutes </w:t>
      </w:r>
      <w:r w:rsidR="00E80EFE">
        <w:rPr>
          <w:rFonts w:ascii="Arial" w:hAnsi="Arial" w:cs="Arial"/>
        </w:rPr>
        <w:t>graves</w:t>
      </w:r>
      <w:r w:rsidR="00C20C38">
        <w:rPr>
          <w:rStyle w:val="Appelnotedebasdep"/>
          <w:rFonts w:ascii="Arial" w:hAnsi="Arial" w:cs="Arial"/>
        </w:rPr>
        <w:footnoteReference w:id="3"/>
      </w:r>
      <w:r w:rsidR="003147BC">
        <w:rPr>
          <w:rFonts w:ascii="Arial" w:hAnsi="Arial" w:cs="Arial"/>
        </w:rPr>
        <w:t>, etc.</w:t>
      </w:r>
      <w:r w:rsidR="00C20C38">
        <w:rPr>
          <w:rFonts w:ascii="Arial" w:hAnsi="Arial" w:cs="Arial"/>
        </w:rPr>
        <w:t xml:space="preserve"> </w:t>
      </w:r>
      <w:r w:rsidR="007772C6">
        <w:rPr>
          <w:rFonts w:ascii="Arial" w:hAnsi="Arial" w:cs="Arial"/>
        </w:rPr>
        <w:t xml:space="preserve">Si l’accès aux traitements </w:t>
      </w:r>
      <w:r w:rsidR="00E80EFE">
        <w:rPr>
          <w:rFonts w:ascii="Arial" w:hAnsi="Arial" w:cs="Arial"/>
        </w:rPr>
        <w:t>actuel</w:t>
      </w:r>
      <w:r w:rsidR="007772C6">
        <w:rPr>
          <w:rFonts w:ascii="Arial" w:hAnsi="Arial" w:cs="Arial"/>
        </w:rPr>
        <w:t xml:space="preserve">s doit être </w:t>
      </w:r>
      <w:r w:rsidR="00E80EFE">
        <w:rPr>
          <w:rFonts w:ascii="Arial" w:hAnsi="Arial" w:cs="Arial"/>
        </w:rPr>
        <w:t>facilit</w:t>
      </w:r>
      <w:r w:rsidR="007772C6">
        <w:rPr>
          <w:rFonts w:ascii="Arial" w:hAnsi="Arial" w:cs="Arial"/>
        </w:rPr>
        <w:t>é à compter de 2020, l’accès aux services de réadaptation destinés aux personnes malvoyantes ne doit pas être négligé.</w:t>
      </w:r>
    </w:p>
    <w:p w14:paraId="3A4262CF" w14:textId="77777777" w:rsidR="007772C6" w:rsidRDefault="007772C6">
      <w:pPr>
        <w:rPr>
          <w:rFonts w:ascii="Arial" w:hAnsi="Arial" w:cs="Arial"/>
        </w:rPr>
      </w:pPr>
    </w:p>
    <w:p w14:paraId="43EE03F9" w14:textId="39886EE8" w:rsidR="0093381E" w:rsidRDefault="007772C6">
      <w:pPr>
        <w:rPr>
          <w:rFonts w:ascii="Arial" w:hAnsi="Arial" w:cs="Arial"/>
        </w:rPr>
      </w:pPr>
      <w:r>
        <w:rPr>
          <w:rFonts w:ascii="Arial" w:hAnsi="Arial" w:cs="Arial"/>
        </w:rPr>
        <w:t xml:space="preserve">Il </w:t>
      </w:r>
      <w:r w:rsidR="006B7F33">
        <w:rPr>
          <w:rFonts w:ascii="Arial" w:hAnsi="Arial" w:cs="Arial"/>
        </w:rPr>
        <w:t>est prouvé</w:t>
      </w:r>
      <w:r>
        <w:rPr>
          <w:rFonts w:ascii="Arial" w:hAnsi="Arial" w:cs="Arial"/>
        </w:rPr>
        <w:t xml:space="preserve"> que les examens</w:t>
      </w:r>
      <w:r w:rsidR="00E80EFE">
        <w:rPr>
          <w:rFonts w:ascii="Arial" w:hAnsi="Arial" w:cs="Arial"/>
        </w:rPr>
        <w:t xml:space="preserve"> de routine</w:t>
      </w:r>
      <w:r>
        <w:rPr>
          <w:rFonts w:ascii="Arial" w:hAnsi="Arial" w:cs="Arial"/>
        </w:rPr>
        <w:t xml:space="preserve"> </w:t>
      </w:r>
      <w:r w:rsidR="006B7F33">
        <w:rPr>
          <w:rFonts w:ascii="Arial" w:hAnsi="Arial" w:cs="Arial"/>
        </w:rPr>
        <w:t>jouent un rôle essentiel dans la prévention de la perte de la vision</w:t>
      </w:r>
      <w:r w:rsidR="006B7F33">
        <w:rPr>
          <w:rStyle w:val="Appelnotedebasdep"/>
          <w:rFonts w:ascii="Arial" w:hAnsi="Arial" w:cs="Arial"/>
        </w:rPr>
        <w:footnoteReference w:id="4"/>
      </w:r>
      <w:r w:rsidR="006B7F33">
        <w:rPr>
          <w:rFonts w:ascii="Arial" w:hAnsi="Arial" w:cs="Arial"/>
        </w:rPr>
        <w:t>. Diagnostiquées suffisamment tôt, certaines maladies oculaires peuvent être soignées avec efficacité sans avoir recours à des traitements coûteux et parfois invasifs. Pour les maladies dont les symptômes sont difficiles</w:t>
      </w:r>
      <w:r w:rsidR="00E209BE">
        <w:rPr>
          <w:rFonts w:ascii="Arial" w:hAnsi="Arial" w:cs="Arial"/>
        </w:rPr>
        <w:t xml:space="preserve">, </w:t>
      </w:r>
      <w:r w:rsidR="006B7F33">
        <w:rPr>
          <w:rFonts w:ascii="Arial" w:hAnsi="Arial" w:cs="Arial"/>
        </w:rPr>
        <w:lastRenderedPageBreak/>
        <w:t>voire impossibles à détecter lors de la phase précoce (celles que l’on surnomme les « </w:t>
      </w:r>
      <w:r w:rsidR="006B7F33" w:rsidRPr="00883DCB">
        <w:rPr>
          <w:rFonts w:ascii="Arial" w:hAnsi="Arial" w:cs="Arial"/>
        </w:rPr>
        <w:t>voleuses silencieuses de la vue</w:t>
      </w:r>
      <w:r w:rsidR="006B7F33">
        <w:rPr>
          <w:rFonts w:ascii="Arial" w:hAnsi="Arial" w:cs="Arial"/>
        </w:rPr>
        <w:t> » comme le glaucome)</w:t>
      </w:r>
      <w:r w:rsidR="005B0F8E">
        <w:rPr>
          <w:rFonts w:ascii="Arial" w:hAnsi="Arial" w:cs="Arial"/>
        </w:rPr>
        <w:t xml:space="preserve">, </w:t>
      </w:r>
      <w:r w:rsidR="00585E38">
        <w:rPr>
          <w:rFonts w:ascii="Arial" w:hAnsi="Arial" w:cs="Arial"/>
        </w:rPr>
        <w:t xml:space="preserve">un dépistage précoce est fondamental </w:t>
      </w:r>
      <w:r w:rsidR="001A7DD6">
        <w:rPr>
          <w:rFonts w:ascii="Arial" w:hAnsi="Arial" w:cs="Arial"/>
        </w:rPr>
        <w:t>et peut</w:t>
      </w:r>
      <w:r w:rsidR="00585E38">
        <w:rPr>
          <w:rFonts w:ascii="Arial" w:hAnsi="Arial" w:cs="Arial"/>
        </w:rPr>
        <w:t xml:space="preserve"> sauver la vue. Malheureusement, les examens de routine ne font pas l’objet d’une couverture équitable dans tout le pays, chaque province ou territoire appliquant ses propres politiques et couvrant en règle générale seulement les groupes d’âge les plus à risque. </w:t>
      </w:r>
      <w:r w:rsidR="00481971" w:rsidRPr="00481971">
        <w:rPr>
          <w:rFonts w:ascii="Arial" w:hAnsi="Arial" w:cs="Arial"/>
        </w:rPr>
        <w:t>Des</w:t>
      </w:r>
      <w:r w:rsidR="00585E38">
        <w:rPr>
          <w:rFonts w:ascii="Arial" w:hAnsi="Arial" w:cs="Arial"/>
        </w:rPr>
        <w:t xml:space="preserve"> recherches</w:t>
      </w:r>
      <w:r w:rsidR="00481971">
        <w:rPr>
          <w:rFonts w:ascii="Arial" w:hAnsi="Arial" w:cs="Arial"/>
        </w:rPr>
        <w:t xml:space="preserve"> poussées</w:t>
      </w:r>
      <w:r w:rsidR="00585E38">
        <w:rPr>
          <w:rFonts w:ascii="Arial" w:hAnsi="Arial" w:cs="Arial"/>
        </w:rPr>
        <w:t xml:space="preserve"> indiquent qu’une couverture insuffisante des examens de routine, même chez les groupes moins à risque, peut entraîner des conséquences dangereuses et imprévues pour la communauté des personnes touchées par la perte de la vision</w:t>
      </w:r>
      <w:r w:rsidR="00585E38">
        <w:rPr>
          <w:rStyle w:val="Appelnotedebasdep"/>
          <w:rFonts w:ascii="Arial" w:hAnsi="Arial" w:cs="Arial"/>
        </w:rPr>
        <w:footnoteReference w:id="5"/>
      </w:r>
      <w:r w:rsidR="00585E38">
        <w:rPr>
          <w:rFonts w:ascii="Arial" w:hAnsi="Arial" w:cs="Arial"/>
        </w:rPr>
        <w:t xml:space="preserve">. </w:t>
      </w:r>
      <w:r w:rsidR="005C6399">
        <w:rPr>
          <w:rFonts w:ascii="Arial" w:hAnsi="Arial" w:cs="Arial"/>
        </w:rPr>
        <w:t xml:space="preserve">Ces recherches devraient orienter la conception de </w:t>
      </w:r>
      <w:r w:rsidR="005C6399" w:rsidRPr="00481971">
        <w:rPr>
          <w:rFonts w:ascii="Arial" w:hAnsi="Arial" w:cs="Arial"/>
        </w:rPr>
        <w:t xml:space="preserve">plans </w:t>
      </w:r>
      <w:r w:rsidR="00481971">
        <w:rPr>
          <w:rFonts w:ascii="Arial" w:hAnsi="Arial" w:cs="Arial"/>
        </w:rPr>
        <w:t>d’une grande portée</w:t>
      </w:r>
      <w:r w:rsidR="005C6399">
        <w:rPr>
          <w:rFonts w:ascii="Arial" w:hAnsi="Arial" w:cs="Arial"/>
        </w:rPr>
        <w:t xml:space="preserve"> visant à pratiquer des examens de la vue </w:t>
      </w:r>
      <w:r w:rsidR="00CC053D">
        <w:rPr>
          <w:rFonts w:ascii="Arial" w:hAnsi="Arial" w:cs="Arial"/>
        </w:rPr>
        <w:t>complet</w:t>
      </w:r>
      <w:r w:rsidR="005C6399">
        <w:rPr>
          <w:rFonts w:ascii="Arial" w:hAnsi="Arial" w:cs="Arial"/>
        </w:rPr>
        <w:t>s</w:t>
      </w:r>
      <w:r w:rsidR="00CC053D">
        <w:rPr>
          <w:rFonts w:ascii="Arial" w:hAnsi="Arial" w:cs="Arial"/>
        </w:rPr>
        <w:t xml:space="preserve"> sur le plus grand nombre possible de </w:t>
      </w:r>
      <w:r w:rsidR="007857B1">
        <w:rPr>
          <w:rFonts w:ascii="Arial" w:hAnsi="Arial" w:cs="Arial"/>
        </w:rPr>
        <w:t xml:space="preserve">Canadiennes et </w:t>
      </w:r>
      <w:r w:rsidR="00CC053D">
        <w:rPr>
          <w:rFonts w:ascii="Arial" w:hAnsi="Arial" w:cs="Arial"/>
        </w:rPr>
        <w:t>Canadiens.</w:t>
      </w:r>
    </w:p>
    <w:p w14:paraId="72050AEC" w14:textId="77777777" w:rsidR="00CC053D" w:rsidRDefault="00CC053D">
      <w:pPr>
        <w:rPr>
          <w:rFonts w:ascii="Arial" w:hAnsi="Arial" w:cs="Arial"/>
        </w:rPr>
      </w:pPr>
    </w:p>
    <w:p w14:paraId="4680E7F6" w14:textId="03890E83" w:rsidR="00CC053D" w:rsidRDefault="005746DD">
      <w:pPr>
        <w:rPr>
          <w:rFonts w:ascii="Arial" w:hAnsi="Arial" w:cs="Arial"/>
        </w:rPr>
      </w:pPr>
      <w:r>
        <w:rPr>
          <w:rFonts w:ascii="Arial" w:hAnsi="Arial" w:cs="Arial"/>
        </w:rPr>
        <w:t xml:space="preserve">Les optométristes sont souvent perçus comme les </w:t>
      </w:r>
      <w:r w:rsidR="003147BC">
        <w:rPr>
          <w:rFonts w:ascii="Arial" w:hAnsi="Arial" w:cs="Arial"/>
        </w:rPr>
        <w:t>intervenants</w:t>
      </w:r>
      <w:r>
        <w:rPr>
          <w:rFonts w:ascii="Arial" w:hAnsi="Arial" w:cs="Arial"/>
        </w:rPr>
        <w:t xml:space="preserve"> de première ligne de notre système de soins de la vue. Qu’un</w:t>
      </w:r>
      <w:r w:rsidR="003D3566">
        <w:rPr>
          <w:rFonts w:ascii="Arial" w:hAnsi="Arial" w:cs="Arial"/>
        </w:rPr>
        <w:t>e patiente ou un</w:t>
      </w:r>
      <w:r>
        <w:rPr>
          <w:rFonts w:ascii="Arial" w:hAnsi="Arial" w:cs="Arial"/>
        </w:rPr>
        <w:t xml:space="preserve"> patient souffre de myopie ou d’une maladie d’origine génétique, sa première personne-ressource est généralement un optométriste ou un médecin de famille. L’année</w:t>
      </w:r>
      <w:r w:rsidR="00E209BE">
        <w:rPr>
          <w:rFonts w:ascii="Arial" w:hAnsi="Arial" w:cs="Arial"/>
        </w:rPr>
        <w:t> </w:t>
      </w:r>
      <w:r>
        <w:rPr>
          <w:rFonts w:ascii="Arial" w:hAnsi="Arial" w:cs="Arial"/>
        </w:rPr>
        <w:t>2020 fournit l’occasion d’envisager la façon dont l’optométrie et d’autres domaines</w:t>
      </w:r>
      <w:r w:rsidR="009B462C">
        <w:rPr>
          <w:rFonts w:ascii="Arial" w:hAnsi="Arial" w:cs="Arial"/>
        </w:rPr>
        <w:t>, notamment l’éducation, les diagnostics, les services aux malvoyants et d’autres aspects essentiels du soin</w:t>
      </w:r>
      <w:r>
        <w:rPr>
          <w:rFonts w:ascii="Arial" w:hAnsi="Arial" w:cs="Arial"/>
        </w:rPr>
        <w:t xml:space="preserve"> peuvent être entièrement intégrés au continuum de</w:t>
      </w:r>
      <w:r w:rsidR="00DC3333">
        <w:rPr>
          <w:rFonts w:ascii="Arial" w:hAnsi="Arial" w:cs="Arial"/>
        </w:rPr>
        <w:t>s</w:t>
      </w:r>
      <w:r>
        <w:rPr>
          <w:rFonts w:ascii="Arial" w:hAnsi="Arial" w:cs="Arial"/>
        </w:rPr>
        <w:t xml:space="preserve"> soins de la vue</w:t>
      </w:r>
      <w:r w:rsidR="009B462C">
        <w:rPr>
          <w:rFonts w:ascii="Arial" w:hAnsi="Arial" w:cs="Arial"/>
        </w:rPr>
        <w:t>.</w:t>
      </w:r>
      <w:r>
        <w:rPr>
          <w:rFonts w:ascii="Arial" w:hAnsi="Arial" w:cs="Arial"/>
        </w:rPr>
        <w:t xml:space="preserve"> </w:t>
      </w:r>
      <w:r w:rsidR="00BA1113">
        <w:rPr>
          <w:rFonts w:ascii="Arial" w:hAnsi="Arial" w:cs="Arial"/>
        </w:rPr>
        <w:t>Dans bien des domaines, par exemple les examens génétiques, notre pays dispose d’ores et déjà d’une v</w:t>
      </w:r>
      <w:r w:rsidR="00D634EF">
        <w:rPr>
          <w:rFonts w:ascii="Arial" w:hAnsi="Arial" w:cs="Arial"/>
        </w:rPr>
        <w:t xml:space="preserve">aste expertise; mettre à profit cette expertise </w:t>
      </w:r>
      <w:r w:rsidR="00DC3333">
        <w:rPr>
          <w:rFonts w:ascii="Arial" w:hAnsi="Arial" w:cs="Arial"/>
        </w:rPr>
        <w:t>au moyen</w:t>
      </w:r>
      <w:r w:rsidR="00D634EF">
        <w:rPr>
          <w:rFonts w:ascii="Arial" w:hAnsi="Arial" w:cs="Arial"/>
        </w:rPr>
        <w:t xml:space="preserve"> d’efforts de coordination et d’intégration</w:t>
      </w:r>
      <w:r w:rsidR="00DC3333">
        <w:rPr>
          <w:rFonts w:ascii="Arial" w:hAnsi="Arial" w:cs="Arial"/>
        </w:rPr>
        <w:t xml:space="preserve"> suffirait à renforcer </w:t>
      </w:r>
      <w:r w:rsidR="001A7DD6">
        <w:rPr>
          <w:rFonts w:ascii="Arial" w:hAnsi="Arial" w:cs="Arial"/>
        </w:rPr>
        <w:t>c</w:t>
      </w:r>
      <w:r w:rsidR="00DC3333">
        <w:rPr>
          <w:rFonts w:ascii="Arial" w:hAnsi="Arial" w:cs="Arial"/>
        </w:rPr>
        <w:t>es domaines</w:t>
      </w:r>
      <w:r w:rsidR="00D634EF">
        <w:rPr>
          <w:rFonts w:ascii="Arial" w:hAnsi="Arial" w:cs="Arial"/>
        </w:rPr>
        <w:t xml:space="preserve">. Nos régimes d’assurance peuvent également jouer un rôle à cet égard, en </w:t>
      </w:r>
      <w:r w:rsidR="002966AF">
        <w:rPr>
          <w:rFonts w:ascii="Arial" w:hAnsi="Arial" w:cs="Arial"/>
        </w:rPr>
        <w:t>rembours</w:t>
      </w:r>
      <w:r w:rsidR="00D634EF">
        <w:rPr>
          <w:rFonts w:ascii="Arial" w:hAnsi="Arial" w:cs="Arial"/>
        </w:rPr>
        <w:t xml:space="preserve">ant non seulement les traitements jugés nécessaires, mais aussi les services </w:t>
      </w:r>
      <w:r w:rsidR="00091252">
        <w:rPr>
          <w:rFonts w:ascii="Arial" w:hAnsi="Arial" w:cs="Arial"/>
        </w:rPr>
        <w:t>de dépistage et d’atténuation de</w:t>
      </w:r>
      <w:r w:rsidR="00D634EF">
        <w:rPr>
          <w:rFonts w:ascii="Arial" w:hAnsi="Arial" w:cs="Arial"/>
        </w:rPr>
        <w:t xml:space="preserve"> la perte de la vision avant le recours au traitement. Notre système de santé économiserait des millions de dollars en adoptant une approche « en amont » des soins de la vue. </w:t>
      </w:r>
    </w:p>
    <w:p w14:paraId="6E2CD479" w14:textId="77777777" w:rsidR="00D634EF" w:rsidRDefault="00D634EF">
      <w:pPr>
        <w:rPr>
          <w:rFonts w:ascii="Arial" w:hAnsi="Arial" w:cs="Arial"/>
        </w:rPr>
      </w:pPr>
    </w:p>
    <w:p w14:paraId="5A588250" w14:textId="67CBBE68" w:rsidR="00D634EF" w:rsidRPr="00D634EF" w:rsidRDefault="00D634EF">
      <w:pPr>
        <w:rPr>
          <w:rFonts w:ascii="Arial" w:hAnsi="Arial" w:cs="Arial"/>
          <w:i/>
        </w:rPr>
      </w:pPr>
      <w:r w:rsidRPr="00D634EF">
        <w:rPr>
          <w:rFonts w:ascii="Arial" w:hAnsi="Arial" w:cs="Arial"/>
          <w:i/>
        </w:rPr>
        <w:t>Cadres réglementaires et accès aux traitements innovants</w:t>
      </w:r>
    </w:p>
    <w:p w14:paraId="0E549B63" w14:textId="77777777" w:rsidR="00D634EF" w:rsidRDefault="00D634EF">
      <w:pPr>
        <w:rPr>
          <w:rFonts w:ascii="Arial" w:hAnsi="Arial" w:cs="Arial"/>
        </w:rPr>
      </w:pPr>
    </w:p>
    <w:p w14:paraId="5ED9E540" w14:textId="283095F0" w:rsidR="00D634EF" w:rsidRDefault="00D634EF">
      <w:pPr>
        <w:rPr>
          <w:rFonts w:ascii="Arial" w:hAnsi="Arial" w:cs="Arial"/>
        </w:rPr>
      </w:pPr>
      <w:r>
        <w:rPr>
          <w:rFonts w:ascii="Arial" w:hAnsi="Arial" w:cs="Arial"/>
        </w:rPr>
        <w:t>Les nouveaux traitements</w:t>
      </w:r>
      <w:r w:rsidR="0053521B">
        <w:rPr>
          <w:rFonts w:ascii="Arial" w:hAnsi="Arial" w:cs="Arial"/>
        </w:rPr>
        <w:t xml:space="preserve"> </w:t>
      </w:r>
      <w:r w:rsidR="00DE2214">
        <w:rPr>
          <w:rFonts w:ascii="Arial" w:hAnsi="Arial" w:cs="Arial"/>
        </w:rPr>
        <w:t xml:space="preserve">susceptibles d’être mis en marché au Canada sont d’abord examinés par Santé Canada, qui s’appuie sur les données cliniques et d’autres </w:t>
      </w:r>
      <w:r w:rsidR="00883DCB">
        <w:rPr>
          <w:rFonts w:ascii="Arial" w:hAnsi="Arial" w:cs="Arial"/>
        </w:rPr>
        <w:t>données probantes</w:t>
      </w:r>
      <w:r w:rsidR="00DE2214">
        <w:rPr>
          <w:rFonts w:ascii="Arial" w:hAnsi="Arial" w:cs="Arial"/>
        </w:rPr>
        <w:t xml:space="preserve"> pour déterminer si un médicament ou une technologie répond aux normes de sécurité et d’efficacité</w:t>
      </w:r>
      <w:r w:rsidR="00DC3333">
        <w:rPr>
          <w:rFonts w:ascii="Arial" w:hAnsi="Arial" w:cs="Arial"/>
        </w:rPr>
        <w:t xml:space="preserve"> en vigueur</w:t>
      </w:r>
      <w:r w:rsidR="00DE2214">
        <w:rPr>
          <w:rFonts w:ascii="Arial" w:hAnsi="Arial" w:cs="Arial"/>
        </w:rPr>
        <w:t xml:space="preserve">. </w:t>
      </w:r>
      <w:r w:rsidR="00091252">
        <w:rPr>
          <w:rFonts w:ascii="Arial" w:hAnsi="Arial" w:cs="Arial"/>
        </w:rPr>
        <w:t>Ensuite</w:t>
      </w:r>
      <w:r w:rsidR="00DE2214">
        <w:rPr>
          <w:rFonts w:ascii="Arial" w:hAnsi="Arial" w:cs="Arial"/>
        </w:rPr>
        <w:t xml:space="preserve">, le traitement est évalué par le Conseil d’examen du prix des médicaments brevetés (CEPMB), qui en étudie le prix </w:t>
      </w:r>
      <w:r w:rsidR="00E209BE">
        <w:rPr>
          <w:rFonts w:ascii="Arial" w:hAnsi="Arial" w:cs="Arial"/>
        </w:rPr>
        <w:t>relativement à</w:t>
      </w:r>
      <w:r w:rsidR="00DE2214">
        <w:rPr>
          <w:rFonts w:ascii="Arial" w:hAnsi="Arial" w:cs="Arial"/>
        </w:rPr>
        <w:t xml:space="preserve"> d’autres traitements et contextes. Le CEPMB a pour mission de protéger les </w:t>
      </w:r>
      <w:r w:rsidR="003D3566">
        <w:rPr>
          <w:rFonts w:ascii="Arial" w:hAnsi="Arial" w:cs="Arial"/>
        </w:rPr>
        <w:t xml:space="preserve">patientes et </w:t>
      </w:r>
      <w:r w:rsidR="00DE2214">
        <w:rPr>
          <w:rFonts w:ascii="Arial" w:hAnsi="Arial" w:cs="Arial"/>
        </w:rPr>
        <w:t>patients contre les prix excessifs et établit un prix plafond pour les nouveaux traitements brevetés mis en marché au Canada. Après avoir reçu l’approbation de Santé Canada et un prix plafond du CEPMB</w:t>
      </w:r>
      <w:r w:rsidR="00284039">
        <w:rPr>
          <w:rFonts w:ascii="Arial" w:hAnsi="Arial" w:cs="Arial"/>
        </w:rPr>
        <w:t xml:space="preserve">, le traitement obtient le feu vert pour être vendu et administré au Canada, mais ne figure à cette étape dans aucun des régimes </w:t>
      </w:r>
      <w:bookmarkStart w:id="0" w:name="_GoBack"/>
      <w:bookmarkEnd w:id="0"/>
      <w:r w:rsidR="00284039">
        <w:rPr>
          <w:rFonts w:ascii="Arial" w:hAnsi="Arial" w:cs="Arial"/>
        </w:rPr>
        <w:t xml:space="preserve">provinciaux ou territoriaux du pays. Le traitement doit pour cela être examiné par l’Agence canadienne des médicaments et des technologies de la santé (ACMTS) et par l’Institut </w:t>
      </w:r>
      <w:r w:rsidR="004F5FCA">
        <w:rPr>
          <w:rFonts w:ascii="Arial" w:hAnsi="Arial" w:cs="Arial"/>
        </w:rPr>
        <w:t>fédéral</w:t>
      </w:r>
      <w:r w:rsidR="00284039">
        <w:rPr>
          <w:rFonts w:ascii="Arial" w:hAnsi="Arial" w:cs="Arial"/>
        </w:rPr>
        <w:t xml:space="preserve"> d’excellence en santé et en services sociaux (INESSS) au Québec, qui le soumettent à une évaluation des technologies de la santé afin d’en déterminer la val</w:t>
      </w:r>
      <w:r w:rsidR="00DC3333">
        <w:rPr>
          <w:rFonts w:ascii="Arial" w:hAnsi="Arial" w:cs="Arial"/>
        </w:rPr>
        <w:t xml:space="preserve">eur thérapeutique et le rapport </w:t>
      </w:r>
      <w:r w:rsidR="00284039">
        <w:rPr>
          <w:rFonts w:ascii="Arial" w:hAnsi="Arial" w:cs="Arial"/>
        </w:rPr>
        <w:lastRenderedPageBreak/>
        <w:t xml:space="preserve">coût-efficacité. Ces organismes formulent ensuite des recommandations </w:t>
      </w:r>
      <w:r w:rsidR="00DC3333">
        <w:rPr>
          <w:rFonts w:ascii="Arial" w:hAnsi="Arial" w:cs="Arial"/>
        </w:rPr>
        <w:t>à l’intention des</w:t>
      </w:r>
      <w:r w:rsidR="00284039">
        <w:rPr>
          <w:rFonts w:ascii="Arial" w:hAnsi="Arial" w:cs="Arial"/>
        </w:rPr>
        <w:t xml:space="preserve"> provinces et </w:t>
      </w:r>
      <w:r w:rsidR="00DC3333">
        <w:rPr>
          <w:rFonts w:ascii="Arial" w:hAnsi="Arial" w:cs="Arial"/>
        </w:rPr>
        <w:t>des</w:t>
      </w:r>
      <w:r w:rsidR="00284039">
        <w:rPr>
          <w:rFonts w:ascii="Arial" w:hAnsi="Arial" w:cs="Arial"/>
        </w:rPr>
        <w:t xml:space="preserve"> territoires en ce qui a trait à l’intégration éventuelle du traitement aux </w:t>
      </w:r>
      <w:r w:rsidR="00284039" w:rsidRPr="00927096">
        <w:rPr>
          <w:rFonts w:ascii="Arial" w:hAnsi="Arial" w:cs="Arial"/>
        </w:rPr>
        <w:t>régimes publics</w:t>
      </w:r>
      <w:r w:rsidR="00927096">
        <w:rPr>
          <w:rFonts w:ascii="Arial" w:hAnsi="Arial" w:cs="Arial"/>
        </w:rPr>
        <w:t xml:space="preserve"> </w:t>
      </w:r>
      <w:r w:rsidR="00927096" w:rsidRPr="00927096">
        <w:rPr>
          <w:rFonts w:ascii="Arial" w:hAnsi="Arial" w:cs="Arial"/>
        </w:rPr>
        <w:t>d’assurance</w:t>
      </w:r>
      <w:r w:rsidR="00284039">
        <w:rPr>
          <w:rFonts w:ascii="Arial" w:hAnsi="Arial" w:cs="Arial"/>
        </w:rPr>
        <w:t>.</w:t>
      </w:r>
    </w:p>
    <w:p w14:paraId="19CC18BF" w14:textId="77777777" w:rsidR="00284039" w:rsidRDefault="00284039">
      <w:pPr>
        <w:rPr>
          <w:rFonts w:ascii="Arial" w:hAnsi="Arial" w:cs="Arial"/>
        </w:rPr>
      </w:pPr>
    </w:p>
    <w:p w14:paraId="73FFDEAF" w14:textId="5A1557C3" w:rsidR="00284039" w:rsidRDefault="00BC1B2D">
      <w:pPr>
        <w:rPr>
          <w:rFonts w:ascii="Arial" w:hAnsi="Arial" w:cs="Arial"/>
        </w:rPr>
      </w:pPr>
      <w:r>
        <w:rPr>
          <w:rFonts w:ascii="Arial" w:hAnsi="Arial" w:cs="Arial"/>
        </w:rPr>
        <w:t xml:space="preserve">Si nos provinces et territoires décident </w:t>
      </w:r>
      <w:r w:rsidR="00FC49B5">
        <w:rPr>
          <w:rFonts w:ascii="Arial" w:hAnsi="Arial" w:cs="Arial"/>
        </w:rPr>
        <w:t>d’intégrer</w:t>
      </w:r>
      <w:r>
        <w:rPr>
          <w:rFonts w:ascii="Arial" w:hAnsi="Arial" w:cs="Arial"/>
        </w:rPr>
        <w:t xml:space="preserve"> le traitement (elles le font presque systématiquement si l’ACMTS ou l’INESSS le recommandent), </w:t>
      </w:r>
      <w:r w:rsidR="009D0D84">
        <w:rPr>
          <w:rFonts w:ascii="Arial" w:hAnsi="Arial" w:cs="Arial"/>
        </w:rPr>
        <w:t xml:space="preserve">des négociations de prix ont alors lieu entre les sociétés concernées et l’Alliance pancanadienne pharmaceutique (APP), qui établit le </w:t>
      </w:r>
      <w:r w:rsidR="00FC49B5">
        <w:rPr>
          <w:rFonts w:ascii="Arial" w:hAnsi="Arial" w:cs="Arial"/>
        </w:rPr>
        <w:t>tarif</w:t>
      </w:r>
      <w:r w:rsidR="009D0D84">
        <w:rPr>
          <w:rFonts w:ascii="Arial" w:hAnsi="Arial" w:cs="Arial"/>
        </w:rPr>
        <w:t xml:space="preserve"> en vigueur dans le cadre des </w:t>
      </w:r>
      <w:r w:rsidR="009D0D84" w:rsidRPr="00927096">
        <w:rPr>
          <w:rFonts w:ascii="Arial" w:hAnsi="Arial" w:cs="Arial"/>
        </w:rPr>
        <w:t>régimes publics</w:t>
      </w:r>
      <w:r w:rsidR="009D0D84">
        <w:rPr>
          <w:rFonts w:ascii="Arial" w:hAnsi="Arial" w:cs="Arial"/>
        </w:rPr>
        <w:t xml:space="preserve">. Ce processus peut s’avérer long et difficile, </w:t>
      </w:r>
      <w:r w:rsidR="00A41FE9">
        <w:rPr>
          <w:rFonts w:ascii="Arial" w:hAnsi="Arial" w:cs="Arial"/>
        </w:rPr>
        <w:t>le rapport de forces étant souvent favorable aux</w:t>
      </w:r>
      <w:r w:rsidR="009D0D84">
        <w:rPr>
          <w:rFonts w:ascii="Arial" w:hAnsi="Arial" w:cs="Arial"/>
        </w:rPr>
        <w:t xml:space="preserve"> sociétés pharmaceutiques </w:t>
      </w:r>
      <w:r w:rsidR="00A41FE9">
        <w:rPr>
          <w:rFonts w:ascii="Arial" w:hAnsi="Arial" w:cs="Arial"/>
        </w:rPr>
        <w:t>qui tentent de négocier un prix égal ou à peine inférieur au prix</w:t>
      </w:r>
      <w:r w:rsidR="00E209BE">
        <w:rPr>
          <w:rFonts w:ascii="Arial" w:hAnsi="Arial" w:cs="Arial"/>
        </w:rPr>
        <w:t xml:space="preserve"> </w:t>
      </w:r>
      <w:r w:rsidR="00A41FE9">
        <w:rPr>
          <w:rFonts w:ascii="Arial" w:hAnsi="Arial" w:cs="Arial"/>
        </w:rPr>
        <w:t>plafond du CEPMB, surtout dans le cas de figure où le médicament ou la technologie en question répond à un besoin non satisfait.</w:t>
      </w:r>
    </w:p>
    <w:p w14:paraId="436676F1" w14:textId="77777777" w:rsidR="00A41FE9" w:rsidRDefault="00A41FE9">
      <w:pPr>
        <w:rPr>
          <w:rFonts w:ascii="Arial" w:hAnsi="Arial" w:cs="Arial"/>
        </w:rPr>
      </w:pPr>
    </w:p>
    <w:p w14:paraId="5BD826B9" w14:textId="4213977E" w:rsidR="00A41FE9" w:rsidRDefault="00FC49B5">
      <w:pPr>
        <w:rPr>
          <w:rFonts w:ascii="Arial" w:hAnsi="Arial" w:cs="Arial"/>
        </w:rPr>
      </w:pPr>
      <w:r>
        <w:rPr>
          <w:rFonts w:ascii="Arial" w:hAnsi="Arial" w:cs="Arial"/>
        </w:rPr>
        <w:t xml:space="preserve">Faisant appel à </w:t>
      </w:r>
      <w:r w:rsidR="001045C8">
        <w:rPr>
          <w:rFonts w:ascii="Arial" w:hAnsi="Arial" w:cs="Arial"/>
        </w:rPr>
        <w:t xml:space="preserve">Santé Canada, </w:t>
      </w:r>
      <w:r>
        <w:rPr>
          <w:rFonts w:ascii="Arial" w:hAnsi="Arial" w:cs="Arial"/>
        </w:rPr>
        <w:t>au</w:t>
      </w:r>
      <w:r w:rsidR="001045C8">
        <w:rPr>
          <w:rFonts w:ascii="Arial" w:hAnsi="Arial" w:cs="Arial"/>
        </w:rPr>
        <w:t xml:space="preserve"> CEPMB, </w:t>
      </w:r>
      <w:r>
        <w:rPr>
          <w:rFonts w:ascii="Arial" w:hAnsi="Arial" w:cs="Arial"/>
        </w:rPr>
        <w:t xml:space="preserve">à </w:t>
      </w:r>
      <w:r w:rsidR="001045C8">
        <w:rPr>
          <w:rFonts w:ascii="Arial" w:hAnsi="Arial" w:cs="Arial"/>
        </w:rPr>
        <w:t xml:space="preserve">l’ACMTS, </w:t>
      </w:r>
      <w:r>
        <w:rPr>
          <w:rFonts w:ascii="Arial" w:hAnsi="Arial" w:cs="Arial"/>
        </w:rPr>
        <w:t xml:space="preserve">à </w:t>
      </w:r>
      <w:r w:rsidR="001045C8">
        <w:rPr>
          <w:rFonts w:ascii="Arial" w:hAnsi="Arial" w:cs="Arial"/>
        </w:rPr>
        <w:t xml:space="preserve">l’INESSS et </w:t>
      </w:r>
      <w:r>
        <w:rPr>
          <w:rFonts w:ascii="Arial" w:hAnsi="Arial" w:cs="Arial"/>
        </w:rPr>
        <w:t xml:space="preserve">à </w:t>
      </w:r>
      <w:r w:rsidR="001045C8">
        <w:rPr>
          <w:rFonts w:ascii="Arial" w:hAnsi="Arial" w:cs="Arial"/>
        </w:rPr>
        <w:t>l’APP, le mécanisme réglementaire canadien est conçu pour protéger les consommateurs et garantir le meilleur accès possible</w:t>
      </w:r>
      <w:r w:rsidR="001C58D8">
        <w:rPr>
          <w:rFonts w:ascii="Arial" w:hAnsi="Arial" w:cs="Arial"/>
        </w:rPr>
        <w:t xml:space="preserve"> aux nouveaux traitements</w:t>
      </w:r>
      <w:r w:rsidR="001045C8">
        <w:rPr>
          <w:rFonts w:ascii="Arial" w:hAnsi="Arial" w:cs="Arial"/>
        </w:rPr>
        <w:t>. Notre système est certes complexe, mais sans doute moins que ceux d’autres pays, notamment les États-Unis</w:t>
      </w:r>
      <w:r w:rsidR="001045C8">
        <w:rPr>
          <w:rStyle w:val="Appelnotedebasdep"/>
          <w:rFonts w:ascii="Arial" w:hAnsi="Arial" w:cs="Arial"/>
        </w:rPr>
        <w:footnoteReference w:id="6"/>
      </w:r>
      <w:r w:rsidR="001045C8">
        <w:rPr>
          <w:rFonts w:ascii="Arial" w:hAnsi="Arial" w:cs="Arial"/>
        </w:rPr>
        <w:t xml:space="preserve">. </w:t>
      </w:r>
      <w:r w:rsidR="001C58D8">
        <w:rPr>
          <w:rFonts w:ascii="Arial" w:hAnsi="Arial" w:cs="Arial"/>
        </w:rPr>
        <w:t>À certains égards</w:t>
      </w:r>
      <w:r w:rsidR="00E2515B">
        <w:rPr>
          <w:rFonts w:ascii="Arial" w:hAnsi="Arial" w:cs="Arial"/>
        </w:rPr>
        <w:t xml:space="preserve">, la complexité de ce mécanisme vise à assurer un examen rigoureux et à prévenir la mise en marché de médicaments dangereux au Canada. Depuis l’adoption de la loi sur les aliments et drogues en 1920, le mécanisme a évolué </w:t>
      </w:r>
      <w:r>
        <w:rPr>
          <w:rFonts w:ascii="Arial" w:hAnsi="Arial" w:cs="Arial"/>
        </w:rPr>
        <w:t>en se souciant constamment de</w:t>
      </w:r>
      <w:r w:rsidR="00E2515B">
        <w:rPr>
          <w:rFonts w:ascii="Arial" w:hAnsi="Arial" w:cs="Arial"/>
        </w:rPr>
        <w:t xml:space="preserve"> la protection et </w:t>
      </w:r>
      <w:r>
        <w:rPr>
          <w:rFonts w:ascii="Arial" w:hAnsi="Arial" w:cs="Arial"/>
        </w:rPr>
        <w:t xml:space="preserve">de </w:t>
      </w:r>
      <w:r w:rsidR="00E2515B">
        <w:rPr>
          <w:rFonts w:ascii="Arial" w:hAnsi="Arial" w:cs="Arial"/>
        </w:rPr>
        <w:t xml:space="preserve">la sécurité des </w:t>
      </w:r>
      <w:r w:rsidR="007857B1">
        <w:rPr>
          <w:rFonts w:ascii="Arial" w:hAnsi="Arial" w:cs="Arial"/>
        </w:rPr>
        <w:t xml:space="preserve">citoyennes et </w:t>
      </w:r>
      <w:r w:rsidR="00E2515B">
        <w:rPr>
          <w:rFonts w:ascii="Arial" w:hAnsi="Arial" w:cs="Arial"/>
        </w:rPr>
        <w:t>citoyens canadiens.</w:t>
      </w:r>
    </w:p>
    <w:p w14:paraId="7BCB52E7" w14:textId="77777777" w:rsidR="00E2515B" w:rsidRDefault="00E2515B">
      <w:pPr>
        <w:rPr>
          <w:rFonts w:ascii="Arial" w:hAnsi="Arial" w:cs="Arial"/>
        </w:rPr>
      </w:pPr>
    </w:p>
    <w:p w14:paraId="069AFAA2" w14:textId="0FD9BB86" w:rsidR="00E2515B" w:rsidRDefault="006A0C49">
      <w:pPr>
        <w:rPr>
          <w:rFonts w:ascii="Arial" w:hAnsi="Arial" w:cs="Arial"/>
        </w:rPr>
      </w:pPr>
      <w:r>
        <w:rPr>
          <w:rFonts w:ascii="Arial" w:hAnsi="Arial" w:cs="Arial"/>
        </w:rPr>
        <w:t xml:space="preserve">Cependant, il ne fait guère de doute que certaines sociétés </w:t>
      </w:r>
      <w:r w:rsidR="00FC49B5">
        <w:rPr>
          <w:rFonts w:ascii="Arial" w:hAnsi="Arial" w:cs="Arial"/>
        </w:rPr>
        <w:t>en ont assez</w:t>
      </w:r>
      <w:r w:rsidR="00A70C9D">
        <w:rPr>
          <w:rFonts w:ascii="Arial" w:hAnsi="Arial" w:cs="Arial"/>
        </w:rPr>
        <w:t xml:space="preserve"> de soumettre leurs produits </w:t>
      </w:r>
      <w:r w:rsidR="00FC49B5">
        <w:rPr>
          <w:rFonts w:ascii="Arial" w:hAnsi="Arial" w:cs="Arial"/>
        </w:rPr>
        <w:t>aux multiples étapes d’un processus long et rigoureux</w:t>
      </w:r>
      <w:r w:rsidR="00A70C9D">
        <w:rPr>
          <w:rFonts w:ascii="Arial" w:hAnsi="Arial" w:cs="Arial"/>
        </w:rPr>
        <w:t xml:space="preserve">. </w:t>
      </w:r>
      <w:r w:rsidR="001E2993">
        <w:rPr>
          <w:rFonts w:ascii="Arial" w:hAnsi="Arial" w:cs="Arial"/>
        </w:rPr>
        <w:t>D</w:t>
      </w:r>
      <w:r w:rsidR="00A70C9D">
        <w:rPr>
          <w:rFonts w:ascii="Arial" w:hAnsi="Arial" w:cs="Arial"/>
        </w:rPr>
        <w:t xml:space="preserve">e nombreux médicaments brevetés sont </w:t>
      </w:r>
      <w:r w:rsidR="001E2993">
        <w:rPr>
          <w:rFonts w:ascii="Arial" w:hAnsi="Arial" w:cs="Arial"/>
        </w:rPr>
        <w:t xml:space="preserve">ainsi </w:t>
      </w:r>
      <w:r w:rsidR="00A70C9D">
        <w:rPr>
          <w:rFonts w:ascii="Arial" w:hAnsi="Arial" w:cs="Arial"/>
        </w:rPr>
        <w:t>mis en marché au Canada plus tardivement que dans d’autres pays de l’OCDE, voire pas du tout. Nous devons continuer à évaluer notre cadre réglementaire de façon à cerner les p</w:t>
      </w:r>
      <w:r w:rsidR="00E209BE">
        <w:rPr>
          <w:rFonts w:ascii="Arial" w:hAnsi="Arial" w:cs="Arial"/>
        </w:rPr>
        <w:t xml:space="preserve">rincipaux secteurs </w:t>
      </w:r>
      <w:r w:rsidR="00876919">
        <w:rPr>
          <w:rFonts w:ascii="Arial" w:hAnsi="Arial" w:cs="Arial"/>
        </w:rPr>
        <w:t>qui requièrent</w:t>
      </w:r>
      <w:r w:rsidR="00E209BE">
        <w:rPr>
          <w:rFonts w:ascii="Arial" w:hAnsi="Arial" w:cs="Arial"/>
        </w:rPr>
        <w:t xml:space="preserve"> une efficacité, une harmonisation et une </w:t>
      </w:r>
      <w:r w:rsidR="00A70C9D">
        <w:rPr>
          <w:rFonts w:ascii="Arial" w:hAnsi="Arial" w:cs="Arial"/>
        </w:rPr>
        <w:t>optimisation</w:t>
      </w:r>
      <w:r w:rsidR="00E209BE">
        <w:rPr>
          <w:rFonts w:ascii="Arial" w:hAnsi="Arial" w:cs="Arial"/>
        </w:rPr>
        <w:t xml:space="preserve"> accrues</w:t>
      </w:r>
      <w:r w:rsidR="00A70C9D">
        <w:rPr>
          <w:rFonts w:ascii="Arial" w:hAnsi="Arial" w:cs="Arial"/>
        </w:rPr>
        <w:t xml:space="preserve">. Voilà qui s’avère fondamental au chapitre de la vision, où le </w:t>
      </w:r>
      <w:r w:rsidR="00A70C9D" w:rsidRPr="00876919">
        <w:rPr>
          <w:rFonts w:ascii="Arial" w:hAnsi="Arial" w:cs="Arial"/>
        </w:rPr>
        <w:t xml:space="preserve">portefeuille </w:t>
      </w:r>
      <w:r w:rsidR="00876919">
        <w:rPr>
          <w:rFonts w:ascii="Arial" w:hAnsi="Arial" w:cs="Arial"/>
        </w:rPr>
        <w:t>d</w:t>
      </w:r>
      <w:r w:rsidR="00A70C9D" w:rsidRPr="00876919">
        <w:rPr>
          <w:rFonts w:ascii="Arial" w:hAnsi="Arial" w:cs="Arial"/>
        </w:rPr>
        <w:t xml:space="preserve">es thérapies géniques semble particulièrement </w:t>
      </w:r>
      <w:r w:rsidR="00CF09B7">
        <w:rPr>
          <w:rFonts w:ascii="Arial" w:hAnsi="Arial" w:cs="Arial"/>
        </w:rPr>
        <w:t>fourni</w:t>
      </w:r>
      <w:r w:rsidR="00A70C9D">
        <w:rPr>
          <w:rFonts w:ascii="Arial" w:hAnsi="Arial" w:cs="Arial"/>
        </w:rPr>
        <w:t>.</w:t>
      </w:r>
      <w:r w:rsidR="00EE3CE5">
        <w:rPr>
          <w:rFonts w:ascii="Arial" w:hAnsi="Arial" w:cs="Arial"/>
        </w:rPr>
        <w:t xml:space="preserve"> </w:t>
      </w:r>
      <w:r w:rsidR="005A7253">
        <w:rPr>
          <w:rFonts w:ascii="Arial" w:hAnsi="Arial" w:cs="Arial"/>
        </w:rPr>
        <w:t xml:space="preserve">Nous devons absolument gagner en efficacité afin de nous assurer que les </w:t>
      </w:r>
      <w:r w:rsidR="007857B1">
        <w:rPr>
          <w:rFonts w:ascii="Arial" w:hAnsi="Arial" w:cs="Arial"/>
        </w:rPr>
        <w:t xml:space="preserve">Canadiennes et </w:t>
      </w:r>
      <w:r w:rsidR="005A7253">
        <w:rPr>
          <w:rFonts w:ascii="Arial" w:hAnsi="Arial" w:cs="Arial"/>
        </w:rPr>
        <w:t xml:space="preserve">Canadiens, en particulier </w:t>
      </w:r>
      <w:r w:rsidR="007857B1">
        <w:rPr>
          <w:rFonts w:ascii="Arial" w:hAnsi="Arial" w:cs="Arial"/>
        </w:rPr>
        <w:t xml:space="preserve">celles et </w:t>
      </w:r>
      <w:r w:rsidR="005A7253">
        <w:rPr>
          <w:rFonts w:ascii="Arial" w:hAnsi="Arial" w:cs="Arial"/>
        </w:rPr>
        <w:t xml:space="preserve">ceux qui souffrent de maladies héréditaires, ne perdent pas la possibilité d’accéder </w:t>
      </w:r>
      <w:r w:rsidR="001E2993">
        <w:rPr>
          <w:rFonts w:ascii="Arial" w:hAnsi="Arial" w:cs="Arial"/>
        </w:rPr>
        <w:t>aux</w:t>
      </w:r>
      <w:r w:rsidR="005A7253">
        <w:rPr>
          <w:rFonts w:ascii="Arial" w:hAnsi="Arial" w:cs="Arial"/>
        </w:rPr>
        <w:t xml:space="preserve"> traitements </w:t>
      </w:r>
      <w:r w:rsidR="001E2993">
        <w:rPr>
          <w:rFonts w:ascii="Arial" w:hAnsi="Arial" w:cs="Arial"/>
        </w:rPr>
        <w:t>actuels</w:t>
      </w:r>
      <w:r w:rsidR="005A7253">
        <w:rPr>
          <w:rFonts w:ascii="Arial" w:hAnsi="Arial" w:cs="Arial"/>
        </w:rPr>
        <w:t xml:space="preserve"> ou </w:t>
      </w:r>
      <w:r w:rsidR="005A7253" w:rsidRPr="001E2993">
        <w:rPr>
          <w:rFonts w:ascii="Arial" w:hAnsi="Arial" w:cs="Arial"/>
        </w:rPr>
        <w:t>en développement</w:t>
      </w:r>
      <w:r w:rsidR="005A7253">
        <w:rPr>
          <w:rFonts w:ascii="Arial" w:hAnsi="Arial" w:cs="Arial"/>
        </w:rPr>
        <w:t xml:space="preserve"> qui pourraient changer leur vie.</w:t>
      </w:r>
    </w:p>
    <w:p w14:paraId="746B00A6" w14:textId="77777777" w:rsidR="005A7253" w:rsidRDefault="005A7253">
      <w:pPr>
        <w:rPr>
          <w:rFonts w:ascii="Arial" w:hAnsi="Arial" w:cs="Arial"/>
        </w:rPr>
      </w:pPr>
    </w:p>
    <w:p w14:paraId="4804D365" w14:textId="097078D4" w:rsidR="005A7253" w:rsidRDefault="006D7403">
      <w:pPr>
        <w:rPr>
          <w:rFonts w:ascii="Arial" w:hAnsi="Arial" w:cs="Arial"/>
        </w:rPr>
      </w:pPr>
      <w:r>
        <w:rPr>
          <w:rFonts w:ascii="Arial" w:hAnsi="Arial" w:cs="Arial"/>
        </w:rPr>
        <w:t>À titre</w:t>
      </w:r>
      <w:r w:rsidR="00A55BF5">
        <w:rPr>
          <w:rFonts w:ascii="Arial" w:hAnsi="Arial" w:cs="Arial"/>
        </w:rPr>
        <w:t xml:space="preserve"> </w:t>
      </w:r>
      <w:r>
        <w:rPr>
          <w:rFonts w:ascii="Arial" w:hAnsi="Arial" w:cs="Arial"/>
        </w:rPr>
        <w:t>d’</w:t>
      </w:r>
      <w:r w:rsidR="00A55BF5">
        <w:rPr>
          <w:rFonts w:ascii="Arial" w:hAnsi="Arial" w:cs="Arial"/>
        </w:rPr>
        <w:t xml:space="preserve">exemple, le marché </w:t>
      </w:r>
      <w:r>
        <w:rPr>
          <w:rFonts w:ascii="Arial" w:hAnsi="Arial" w:cs="Arial"/>
        </w:rPr>
        <w:t>émergent</w:t>
      </w:r>
      <w:r w:rsidR="00A55BF5">
        <w:rPr>
          <w:rFonts w:ascii="Arial" w:hAnsi="Arial" w:cs="Arial"/>
        </w:rPr>
        <w:t xml:space="preserve"> des médicaments biosimilaires est un domaine qui </w:t>
      </w:r>
      <w:r w:rsidR="0049054F">
        <w:rPr>
          <w:rFonts w:ascii="Arial" w:hAnsi="Arial" w:cs="Arial"/>
        </w:rPr>
        <w:t>profiterait</w:t>
      </w:r>
      <w:r w:rsidR="00A55BF5">
        <w:rPr>
          <w:rFonts w:ascii="Arial" w:hAnsi="Arial" w:cs="Arial"/>
        </w:rPr>
        <w:t xml:space="preserve"> d’efforts coordonnés et </w:t>
      </w:r>
      <w:r w:rsidR="00A14089">
        <w:rPr>
          <w:rFonts w:ascii="Arial" w:hAnsi="Arial" w:cs="Arial"/>
        </w:rPr>
        <w:t xml:space="preserve">d’une rationalisation accrue. Les médicaments biologiques </w:t>
      </w:r>
      <w:r w:rsidR="00A14089" w:rsidRPr="006D7403">
        <w:rPr>
          <w:rFonts w:ascii="Arial" w:hAnsi="Arial" w:cs="Arial"/>
        </w:rPr>
        <w:t xml:space="preserve">sont </w:t>
      </w:r>
      <w:r w:rsidR="00481971">
        <w:rPr>
          <w:rFonts w:ascii="Arial" w:hAnsi="Arial" w:cs="Arial"/>
        </w:rPr>
        <w:t>produits à partir d’une cellule,</w:t>
      </w:r>
      <w:r w:rsidR="00A14089" w:rsidRPr="006D7403">
        <w:rPr>
          <w:rFonts w:ascii="Arial" w:hAnsi="Arial" w:cs="Arial"/>
        </w:rPr>
        <w:t xml:space="preserve"> d’</w:t>
      </w:r>
      <w:r w:rsidR="00481971">
        <w:rPr>
          <w:rFonts w:ascii="Arial" w:hAnsi="Arial" w:cs="Arial"/>
        </w:rPr>
        <w:t>un organisme vivant ou dérivés de ceux-ci</w:t>
      </w:r>
      <w:r w:rsidR="00A14089">
        <w:rPr>
          <w:rFonts w:ascii="Arial" w:hAnsi="Arial" w:cs="Arial"/>
        </w:rPr>
        <w:t xml:space="preserve"> : en soins de la vision, les injections de médicament anti-VEGF destinées à traiter la dégénérescence maculaire liée à l’âge (DMLA) exsudative et l’œdème maculaire diabétique (OMD) en offrent un bon exemple. On peut considérer les biosimilaires comme la version générique des médicaments biologiques, bien qu’ils ne soient pas identiques aux médicaments de référence de la même manière que les génériques conventionnels. Mais les biosimilaires </w:t>
      </w:r>
      <w:r w:rsidR="00B64487">
        <w:rPr>
          <w:rFonts w:ascii="Arial" w:hAnsi="Arial" w:cs="Arial"/>
        </w:rPr>
        <w:t xml:space="preserve">recèlent un potentiel </w:t>
      </w:r>
      <w:r w:rsidR="00B64487">
        <w:rPr>
          <w:rFonts w:ascii="Arial" w:hAnsi="Arial" w:cs="Arial"/>
        </w:rPr>
        <w:lastRenderedPageBreak/>
        <w:t>similaire à celui des</w:t>
      </w:r>
      <w:r w:rsidR="00A14089">
        <w:rPr>
          <w:rFonts w:ascii="Arial" w:hAnsi="Arial" w:cs="Arial"/>
        </w:rPr>
        <w:t xml:space="preserve"> versions génériques des médicaments de synthèse </w:t>
      </w:r>
      <w:r w:rsidR="00B64487">
        <w:rPr>
          <w:rFonts w:ascii="Arial" w:hAnsi="Arial" w:cs="Arial"/>
        </w:rPr>
        <w:t>qui,</w:t>
      </w:r>
      <w:r w:rsidR="00A14089">
        <w:rPr>
          <w:rFonts w:ascii="Arial" w:hAnsi="Arial" w:cs="Arial"/>
        </w:rPr>
        <w:t xml:space="preserve"> dans les années</w:t>
      </w:r>
      <w:r w:rsidR="00E209BE">
        <w:rPr>
          <w:rFonts w:ascii="Arial" w:hAnsi="Arial" w:cs="Arial"/>
        </w:rPr>
        <w:t> </w:t>
      </w:r>
      <w:r w:rsidR="00A14089">
        <w:rPr>
          <w:rFonts w:ascii="Arial" w:hAnsi="Arial" w:cs="Arial"/>
        </w:rPr>
        <w:t xml:space="preserve">1980, </w:t>
      </w:r>
      <w:r w:rsidR="00B64487">
        <w:rPr>
          <w:rFonts w:ascii="Arial" w:hAnsi="Arial" w:cs="Arial"/>
        </w:rPr>
        <w:t xml:space="preserve">ont transformé le marché en réduisant les prix au Canada et partout dans le monde. </w:t>
      </w:r>
      <w:r w:rsidR="004C3F93">
        <w:rPr>
          <w:rFonts w:ascii="Arial" w:hAnsi="Arial" w:cs="Arial"/>
        </w:rPr>
        <w:t xml:space="preserve">L’ACMTS révise à l’heure actuelle ses pratiques relatives aux biosimilaires </w:t>
      </w:r>
      <w:r w:rsidR="007857B1">
        <w:rPr>
          <w:rFonts w:ascii="Arial" w:hAnsi="Arial" w:cs="Arial"/>
        </w:rPr>
        <w:t>en tentant de</w:t>
      </w:r>
      <w:r w:rsidR="004C3F93">
        <w:rPr>
          <w:rFonts w:ascii="Arial" w:hAnsi="Arial" w:cs="Arial"/>
        </w:rPr>
        <w:t xml:space="preserve"> trouver des façons d’accélérer leur adoption au Canada. Comme dans d’autres domaines qui doivent faire l’objet d’une restructuration, les économies réalisées grâce aux biosimilaires pourraient être </w:t>
      </w:r>
      <w:r w:rsidR="00481971">
        <w:rPr>
          <w:rFonts w:ascii="Arial" w:hAnsi="Arial" w:cs="Arial"/>
        </w:rPr>
        <w:t>réinvesties dans</w:t>
      </w:r>
      <w:r w:rsidR="004C3F93">
        <w:rPr>
          <w:rFonts w:ascii="Arial" w:hAnsi="Arial" w:cs="Arial"/>
        </w:rPr>
        <w:t xml:space="preserve"> le système public afin de renforcer l’équité et l’accès pour </w:t>
      </w:r>
      <w:r w:rsidR="007857B1">
        <w:rPr>
          <w:rFonts w:ascii="Arial" w:hAnsi="Arial" w:cs="Arial"/>
        </w:rPr>
        <w:t>l’ensemble des Canadiennes et</w:t>
      </w:r>
      <w:r w:rsidR="004C3F93">
        <w:rPr>
          <w:rFonts w:ascii="Arial" w:hAnsi="Arial" w:cs="Arial"/>
        </w:rPr>
        <w:t xml:space="preserve"> Canadiens. </w:t>
      </w:r>
    </w:p>
    <w:p w14:paraId="01D368D9" w14:textId="77777777" w:rsidR="007C785B" w:rsidRDefault="007C785B">
      <w:pPr>
        <w:rPr>
          <w:rFonts w:ascii="Arial" w:hAnsi="Arial" w:cs="Arial"/>
        </w:rPr>
      </w:pPr>
    </w:p>
    <w:p w14:paraId="2669EB08" w14:textId="65F750CC" w:rsidR="007C785B" w:rsidRDefault="00632060">
      <w:pPr>
        <w:rPr>
          <w:rFonts w:ascii="Arial" w:hAnsi="Arial" w:cs="Arial"/>
        </w:rPr>
      </w:pPr>
      <w:r>
        <w:rPr>
          <w:rFonts w:ascii="Arial" w:hAnsi="Arial" w:cs="Arial"/>
        </w:rPr>
        <w:t xml:space="preserve">Des révisions similaires </w:t>
      </w:r>
      <w:r w:rsidR="004D354E">
        <w:rPr>
          <w:rFonts w:ascii="Arial" w:hAnsi="Arial" w:cs="Arial"/>
        </w:rPr>
        <w:t>s’imposent</w:t>
      </w:r>
      <w:r>
        <w:rPr>
          <w:rFonts w:ascii="Arial" w:hAnsi="Arial" w:cs="Arial"/>
        </w:rPr>
        <w:t xml:space="preserve"> </w:t>
      </w:r>
      <w:r w:rsidR="004D354E">
        <w:rPr>
          <w:rFonts w:ascii="Arial" w:hAnsi="Arial" w:cs="Arial"/>
        </w:rPr>
        <w:t xml:space="preserve">en </w:t>
      </w:r>
      <w:r>
        <w:rPr>
          <w:rFonts w:ascii="Arial" w:hAnsi="Arial" w:cs="Arial"/>
        </w:rPr>
        <w:t xml:space="preserve">ce qui a trait aux thérapies géniques, aux traitements innovants et à d’autres domaines clés dans lesquels nous accusons actuellement du retard. Notre objectif réglementaire pour la décennie qui s’amorce devrait consister à établir des mécanismes harmonieux et optimisés qui </w:t>
      </w:r>
      <w:r w:rsidRPr="004D354E">
        <w:rPr>
          <w:rFonts w:ascii="Arial" w:hAnsi="Arial" w:cs="Arial"/>
        </w:rPr>
        <w:t xml:space="preserve">maintiennent les </w:t>
      </w:r>
      <w:r w:rsidR="00B15C99" w:rsidRPr="004D354E">
        <w:rPr>
          <w:rFonts w:ascii="Arial" w:hAnsi="Arial" w:cs="Arial"/>
        </w:rPr>
        <w:t>coûts</w:t>
      </w:r>
      <w:r w:rsidRPr="004D354E">
        <w:rPr>
          <w:rFonts w:ascii="Arial" w:hAnsi="Arial" w:cs="Arial"/>
        </w:rPr>
        <w:t xml:space="preserve"> </w:t>
      </w:r>
      <w:r w:rsidR="004D354E" w:rsidRPr="004D354E">
        <w:rPr>
          <w:rFonts w:ascii="Arial" w:hAnsi="Arial" w:cs="Arial"/>
        </w:rPr>
        <w:t xml:space="preserve">au plus </w:t>
      </w:r>
      <w:r w:rsidRPr="004D354E">
        <w:rPr>
          <w:rFonts w:ascii="Arial" w:hAnsi="Arial" w:cs="Arial"/>
        </w:rPr>
        <w:t>bas</w:t>
      </w:r>
      <w:r>
        <w:rPr>
          <w:rFonts w:ascii="Arial" w:hAnsi="Arial" w:cs="Arial"/>
        </w:rPr>
        <w:t xml:space="preserve"> tout en favorisant </w:t>
      </w:r>
      <w:r w:rsidR="006D7403">
        <w:rPr>
          <w:rFonts w:ascii="Arial" w:hAnsi="Arial" w:cs="Arial"/>
        </w:rPr>
        <w:t>le recours à</w:t>
      </w:r>
      <w:r>
        <w:rPr>
          <w:rFonts w:ascii="Arial" w:hAnsi="Arial" w:cs="Arial"/>
        </w:rPr>
        <w:t xml:space="preserve"> de</w:t>
      </w:r>
      <w:r w:rsidR="006D7403">
        <w:rPr>
          <w:rFonts w:ascii="Arial" w:hAnsi="Arial" w:cs="Arial"/>
        </w:rPr>
        <w:t>s</w:t>
      </w:r>
      <w:r>
        <w:rPr>
          <w:rFonts w:ascii="Arial" w:hAnsi="Arial" w:cs="Arial"/>
        </w:rPr>
        <w:t xml:space="preserve"> traitements innovants susceptibles de changer des vies. </w:t>
      </w:r>
      <w:r w:rsidR="00334E62">
        <w:rPr>
          <w:rFonts w:ascii="Arial" w:hAnsi="Arial" w:cs="Arial"/>
        </w:rPr>
        <w:t>De nombreux membres de la communauté ont</w:t>
      </w:r>
      <w:r w:rsidR="00B15C99">
        <w:rPr>
          <w:rFonts w:ascii="Arial" w:hAnsi="Arial" w:cs="Arial"/>
        </w:rPr>
        <w:t xml:space="preserve"> affirmé qu’il ne saurait y avoir de compromis</w:t>
      </w:r>
      <w:r w:rsidR="006D7403">
        <w:rPr>
          <w:rFonts w:ascii="Arial" w:hAnsi="Arial" w:cs="Arial"/>
        </w:rPr>
        <w:t xml:space="preserve"> entre, par exemple, </w:t>
      </w:r>
      <w:r w:rsidR="0054320B">
        <w:rPr>
          <w:rFonts w:ascii="Arial" w:hAnsi="Arial" w:cs="Arial"/>
        </w:rPr>
        <w:t xml:space="preserve">la </w:t>
      </w:r>
      <w:r w:rsidR="00B15C99">
        <w:rPr>
          <w:rFonts w:ascii="Arial" w:hAnsi="Arial" w:cs="Arial"/>
        </w:rPr>
        <w:t xml:space="preserve">réduction des coûts et </w:t>
      </w:r>
      <w:r w:rsidR="0054320B">
        <w:rPr>
          <w:rFonts w:ascii="Arial" w:hAnsi="Arial" w:cs="Arial"/>
        </w:rPr>
        <w:t>l’</w:t>
      </w:r>
      <w:r w:rsidR="00B15C99">
        <w:rPr>
          <w:rFonts w:ascii="Arial" w:hAnsi="Arial" w:cs="Arial"/>
        </w:rPr>
        <w:t xml:space="preserve">innovation. </w:t>
      </w:r>
      <w:r w:rsidR="00392E11">
        <w:rPr>
          <w:rFonts w:ascii="Arial" w:hAnsi="Arial" w:cs="Arial"/>
        </w:rPr>
        <w:t>Efforçons-nous</w:t>
      </w:r>
      <w:r w:rsidR="00B15C99">
        <w:rPr>
          <w:rFonts w:ascii="Arial" w:hAnsi="Arial" w:cs="Arial"/>
        </w:rPr>
        <w:t xml:space="preserve"> plutôt d’atteindre les objectifs de rentabilité et d’accès universel tout en favorisant un environnement d’innovation transformatrice, de recherche et d’essais cliniques – dans le domaine de la perte de la vision et pour toutes</w:t>
      </w:r>
      <w:r w:rsidR="00CD5E1F">
        <w:rPr>
          <w:rFonts w:ascii="Arial" w:hAnsi="Arial" w:cs="Arial"/>
        </w:rPr>
        <w:t xml:space="preserve"> les</w:t>
      </w:r>
      <w:r w:rsidR="00B15C99">
        <w:rPr>
          <w:rFonts w:ascii="Arial" w:hAnsi="Arial" w:cs="Arial"/>
        </w:rPr>
        <w:t xml:space="preserve"> autres catégories de maladies.</w:t>
      </w:r>
    </w:p>
    <w:p w14:paraId="31F1065A" w14:textId="77777777" w:rsidR="00B15C99" w:rsidRDefault="00B15C99">
      <w:pPr>
        <w:rPr>
          <w:rFonts w:ascii="Arial" w:hAnsi="Arial" w:cs="Arial"/>
        </w:rPr>
      </w:pPr>
    </w:p>
    <w:p w14:paraId="068D8BF5" w14:textId="762C2B3B" w:rsidR="00B15C99" w:rsidRDefault="00E82803">
      <w:pPr>
        <w:rPr>
          <w:rFonts w:ascii="Arial" w:hAnsi="Arial" w:cs="Arial"/>
        </w:rPr>
      </w:pPr>
      <w:r>
        <w:rPr>
          <w:rFonts w:ascii="Arial" w:hAnsi="Arial" w:cs="Arial"/>
        </w:rPr>
        <w:t>L’in</w:t>
      </w:r>
      <w:r w:rsidR="006D7403">
        <w:rPr>
          <w:rFonts w:ascii="Arial" w:hAnsi="Arial" w:cs="Arial"/>
        </w:rPr>
        <w:t>tégration</w:t>
      </w:r>
      <w:r>
        <w:rPr>
          <w:rFonts w:ascii="Arial" w:hAnsi="Arial" w:cs="Arial"/>
        </w:rPr>
        <w:t xml:space="preserve"> des</w:t>
      </w:r>
      <w:r w:rsidR="003D3566">
        <w:rPr>
          <w:rFonts w:ascii="Arial" w:hAnsi="Arial" w:cs="Arial"/>
        </w:rPr>
        <w:t xml:space="preserve"> patientes et</w:t>
      </w:r>
      <w:r>
        <w:rPr>
          <w:rFonts w:ascii="Arial" w:hAnsi="Arial" w:cs="Arial"/>
        </w:rPr>
        <w:t xml:space="preserve"> patients et de leurs perspectives </w:t>
      </w:r>
      <w:r w:rsidR="006D7403">
        <w:rPr>
          <w:rFonts w:ascii="Arial" w:hAnsi="Arial" w:cs="Arial"/>
        </w:rPr>
        <w:t>à</w:t>
      </w:r>
      <w:r>
        <w:rPr>
          <w:rFonts w:ascii="Arial" w:hAnsi="Arial" w:cs="Arial"/>
        </w:rPr>
        <w:t xml:space="preserve"> la prise de décisions réglementaires a représenté </w:t>
      </w:r>
      <w:r w:rsidR="006D7403">
        <w:rPr>
          <w:rFonts w:ascii="Arial" w:hAnsi="Arial" w:cs="Arial"/>
        </w:rPr>
        <w:t>l’</w:t>
      </w:r>
      <w:r>
        <w:rPr>
          <w:rFonts w:ascii="Arial" w:hAnsi="Arial" w:cs="Arial"/>
        </w:rPr>
        <w:t xml:space="preserve">une des principales évolutions de la dernière décennie. </w:t>
      </w:r>
      <w:r w:rsidR="00C3365B">
        <w:rPr>
          <w:rFonts w:ascii="Arial" w:hAnsi="Arial" w:cs="Arial"/>
        </w:rPr>
        <w:t xml:space="preserve">Dans le cadre de mouvements plus larges de soins et de recherches axés sur le patient, des organismes comme l’ACMTS et le CEPMB consultent dorénavant les </w:t>
      </w:r>
      <w:r w:rsidR="003D3566">
        <w:rPr>
          <w:rFonts w:ascii="Arial" w:hAnsi="Arial" w:cs="Arial"/>
        </w:rPr>
        <w:t xml:space="preserve">patientes et </w:t>
      </w:r>
      <w:r w:rsidR="00C3365B">
        <w:rPr>
          <w:rFonts w:ascii="Arial" w:hAnsi="Arial" w:cs="Arial"/>
        </w:rPr>
        <w:t>patients avant de recommander des produits précis ou d’</w:t>
      </w:r>
      <w:r w:rsidR="00C3365B" w:rsidRPr="006D7403">
        <w:rPr>
          <w:rFonts w:ascii="Arial" w:hAnsi="Arial" w:cs="Arial"/>
        </w:rPr>
        <w:t>engager des réformes</w:t>
      </w:r>
      <w:r w:rsidR="00C3365B">
        <w:rPr>
          <w:rFonts w:ascii="Arial" w:hAnsi="Arial" w:cs="Arial"/>
        </w:rPr>
        <w:t>.</w:t>
      </w:r>
      <w:r w:rsidR="00A617D5">
        <w:rPr>
          <w:rFonts w:ascii="Arial" w:hAnsi="Arial" w:cs="Arial"/>
        </w:rPr>
        <w:t xml:space="preserve"> Ce projet est toutefois loin d’être complètement réalisé. Des mesures supplémentaires sont requises afin d’i</w:t>
      </w:r>
      <w:r w:rsidR="003A4B4E">
        <w:rPr>
          <w:rFonts w:ascii="Arial" w:hAnsi="Arial" w:cs="Arial"/>
        </w:rPr>
        <w:t>mpliquer</w:t>
      </w:r>
      <w:r w:rsidR="00227D4B">
        <w:rPr>
          <w:rFonts w:ascii="Arial" w:hAnsi="Arial" w:cs="Arial"/>
        </w:rPr>
        <w:t xml:space="preserve"> plus rigoureusement</w:t>
      </w:r>
      <w:r w:rsidR="00A617D5">
        <w:rPr>
          <w:rFonts w:ascii="Arial" w:hAnsi="Arial" w:cs="Arial"/>
        </w:rPr>
        <w:t xml:space="preserve"> les </w:t>
      </w:r>
      <w:r w:rsidR="003D3566">
        <w:rPr>
          <w:rFonts w:ascii="Arial" w:hAnsi="Arial" w:cs="Arial"/>
        </w:rPr>
        <w:t xml:space="preserve">patientes et </w:t>
      </w:r>
      <w:r w:rsidR="00A617D5">
        <w:rPr>
          <w:rFonts w:ascii="Arial" w:hAnsi="Arial" w:cs="Arial"/>
        </w:rPr>
        <w:t xml:space="preserve">patients </w:t>
      </w:r>
      <w:r w:rsidR="003A4B4E">
        <w:rPr>
          <w:rFonts w:ascii="Arial" w:hAnsi="Arial" w:cs="Arial"/>
        </w:rPr>
        <w:t>dans</w:t>
      </w:r>
      <w:r w:rsidR="00227D4B">
        <w:rPr>
          <w:rFonts w:ascii="Arial" w:hAnsi="Arial" w:cs="Arial"/>
        </w:rPr>
        <w:t xml:space="preserve"> la prise de décisions, et d’éviter la politique de pure forme que l’on observe dans les pires </w:t>
      </w:r>
      <w:r w:rsidR="00F72925">
        <w:rPr>
          <w:rFonts w:ascii="Arial" w:hAnsi="Arial" w:cs="Arial"/>
        </w:rPr>
        <w:t>exemples</w:t>
      </w:r>
      <w:r w:rsidR="00227D4B">
        <w:rPr>
          <w:rFonts w:ascii="Arial" w:hAnsi="Arial" w:cs="Arial"/>
        </w:rPr>
        <w:t xml:space="preserve"> </w:t>
      </w:r>
      <w:r w:rsidR="00A731E7">
        <w:rPr>
          <w:rFonts w:ascii="Arial" w:hAnsi="Arial" w:cs="Arial"/>
        </w:rPr>
        <w:t>de participation</w:t>
      </w:r>
      <w:r w:rsidR="00227D4B">
        <w:rPr>
          <w:rFonts w:ascii="Arial" w:hAnsi="Arial" w:cs="Arial"/>
        </w:rPr>
        <w:t xml:space="preserve"> des </w:t>
      </w:r>
      <w:r w:rsidR="003D3566">
        <w:rPr>
          <w:rFonts w:ascii="Arial" w:hAnsi="Arial" w:cs="Arial"/>
        </w:rPr>
        <w:t xml:space="preserve">patientes et </w:t>
      </w:r>
      <w:r w:rsidR="00227D4B">
        <w:rPr>
          <w:rFonts w:ascii="Arial" w:hAnsi="Arial" w:cs="Arial"/>
        </w:rPr>
        <w:t>patients.</w:t>
      </w:r>
    </w:p>
    <w:p w14:paraId="36DCC08D" w14:textId="77777777" w:rsidR="00227D4B" w:rsidRDefault="00227D4B">
      <w:pPr>
        <w:rPr>
          <w:rFonts w:ascii="Arial" w:hAnsi="Arial" w:cs="Arial"/>
        </w:rPr>
      </w:pPr>
    </w:p>
    <w:p w14:paraId="4D4F16E9" w14:textId="788FE344" w:rsidR="00227D4B" w:rsidRDefault="002952D3">
      <w:pPr>
        <w:rPr>
          <w:rFonts w:ascii="Arial" w:hAnsi="Arial" w:cs="Arial"/>
        </w:rPr>
      </w:pPr>
      <w:r>
        <w:rPr>
          <w:rFonts w:ascii="Arial" w:hAnsi="Arial" w:cs="Arial"/>
        </w:rPr>
        <w:t xml:space="preserve">Les </w:t>
      </w:r>
      <w:r w:rsidR="003D3566">
        <w:rPr>
          <w:rFonts w:ascii="Arial" w:hAnsi="Arial" w:cs="Arial"/>
        </w:rPr>
        <w:t xml:space="preserve">patientes et </w:t>
      </w:r>
      <w:r>
        <w:rPr>
          <w:rFonts w:ascii="Arial" w:hAnsi="Arial" w:cs="Arial"/>
        </w:rPr>
        <w:t xml:space="preserve">patients doivent être consultés le plus tôt possible et leurs opinions doivent figurer de façon exhaustive dans les rapports. Les témoignages de ces interactions devraient être étudiés en parallèle (mais bien sûr distinctement) des </w:t>
      </w:r>
      <w:r w:rsidR="00FA4301">
        <w:rPr>
          <w:rFonts w:ascii="Arial" w:hAnsi="Arial" w:cs="Arial"/>
        </w:rPr>
        <w:t xml:space="preserve">données cliniques. L’ACMTS propose actuellement aux groupes de </w:t>
      </w:r>
      <w:r w:rsidR="003D3566">
        <w:rPr>
          <w:rFonts w:ascii="Arial" w:hAnsi="Arial" w:cs="Arial"/>
        </w:rPr>
        <w:t xml:space="preserve">patientes et </w:t>
      </w:r>
      <w:r w:rsidR="00FA4301">
        <w:rPr>
          <w:rFonts w:ascii="Arial" w:hAnsi="Arial" w:cs="Arial"/>
        </w:rPr>
        <w:t xml:space="preserve">patients </w:t>
      </w:r>
      <w:r w:rsidR="006B1362">
        <w:rPr>
          <w:rFonts w:ascii="Arial" w:hAnsi="Arial" w:cs="Arial"/>
        </w:rPr>
        <w:t>de fournir de la rétroaction concernant l’examen de médicaments et de technologies.</w:t>
      </w:r>
      <w:r w:rsidR="0077299B">
        <w:rPr>
          <w:rFonts w:ascii="Arial" w:hAnsi="Arial" w:cs="Arial"/>
        </w:rPr>
        <w:t xml:space="preserve"> Néanmoins, l’organisme a besoin de </w:t>
      </w:r>
      <w:r w:rsidR="00F72925">
        <w:rPr>
          <w:rFonts w:ascii="Arial" w:hAnsi="Arial" w:cs="Arial"/>
        </w:rPr>
        <w:t>plus</w:t>
      </w:r>
      <w:r w:rsidR="0077299B">
        <w:rPr>
          <w:rFonts w:ascii="Arial" w:hAnsi="Arial" w:cs="Arial"/>
        </w:rPr>
        <w:t xml:space="preserve"> de temps à cette fin et</w:t>
      </w:r>
      <w:r w:rsidR="00F72925">
        <w:rPr>
          <w:rFonts w:ascii="Arial" w:hAnsi="Arial" w:cs="Arial"/>
        </w:rPr>
        <w:t>, idéal</w:t>
      </w:r>
      <w:r w:rsidR="004F07BF">
        <w:rPr>
          <w:rFonts w:ascii="Arial" w:hAnsi="Arial" w:cs="Arial"/>
        </w:rPr>
        <w:t>ement</w:t>
      </w:r>
      <w:r w:rsidR="00F72925">
        <w:rPr>
          <w:rFonts w:ascii="Arial" w:hAnsi="Arial" w:cs="Arial"/>
        </w:rPr>
        <w:t>,</w:t>
      </w:r>
      <w:r w:rsidR="0077299B">
        <w:rPr>
          <w:rFonts w:ascii="Arial" w:hAnsi="Arial" w:cs="Arial"/>
        </w:rPr>
        <w:t xml:space="preserve"> de ressources visant à faciliter le travail complexe et exigeant de synthèse et de présentation des perspectives des </w:t>
      </w:r>
      <w:r w:rsidR="003D3566">
        <w:rPr>
          <w:rFonts w:ascii="Arial" w:hAnsi="Arial" w:cs="Arial"/>
        </w:rPr>
        <w:t xml:space="preserve">patientes et </w:t>
      </w:r>
      <w:r w:rsidR="0077299B">
        <w:rPr>
          <w:rFonts w:ascii="Arial" w:hAnsi="Arial" w:cs="Arial"/>
        </w:rPr>
        <w:t xml:space="preserve">patients. </w:t>
      </w:r>
      <w:r w:rsidR="00097A64">
        <w:rPr>
          <w:rFonts w:ascii="Arial" w:hAnsi="Arial" w:cs="Arial"/>
        </w:rPr>
        <w:t xml:space="preserve">La recherche axée sur le patient ne doit </w:t>
      </w:r>
      <w:r w:rsidR="00B146DF">
        <w:rPr>
          <w:rFonts w:ascii="Arial" w:hAnsi="Arial" w:cs="Arial"/>
        </w:rPr>
        <w:t xml:space="preserve">pas se résumer à un slogan; elle doit être entretenue, pratiquée et finalement recevoir le soutien des principales institutions canadiennes. L’objectif commun consistant à fournir aux </w:t>
      </w:r>
      <w:r w:rsidR="007857B1">
        <w:rPr>
          <w:rFonts w:ascii="Arial" w:hAnsi="Arial" w:cs="Arial"/>
        </w:rPr>
        <w:t xml:space="preserve">Canadiennes et </w:t>
      </w:r>
      <w:r w:rsidR="00B146DF">
        <w:rPr>
          <w:rFonts w:ascii="Arial" w:hAnsi="Arial" w:cs="Arial"/>
        </w:rPr>
        <w:t xml:space="preserve">Canadiens des traitements de la perte de la vision profitera considérablement de la pleine collaboration avec les </w:t>
      </w:r>
      <w:r w:rsidR="003D3566">
        <w:rPr>
          <w:rFonts w:ascii="Arial" w:hAnsi="Arial" w:cs="Arial"/>
        </w:rPr>
        <w:t xml:space="preserve">patientes et </w:t>
      </w:r>
      <w:r w:rsidR="00B146DF">
        <w:rPr>
          <w:rFonts w:ascii="Arial" w:hAnsi="Arial" w:cs="Arial"/>
        </w:rPr>
        <w:t>patients</w:t>
      </w:r>
      <w:r w:rsidR="00F92F23">
        <w:rPr>
          <w:rFonts w:ascii="Arial" w:hAnsi="Arial" w:cs="Arial"/>
        </w:rPr>
        <w:t xml:space="preserve"> qui possèdent une expérience vécue des maladies concernées.</w:t>
      </w:r>
    </w:p>
    <w:p w14:paraId="111B737F" w14:textId="77777777" w:rsidR="00F92F23" w:rsidRDefault="00F92F23">
      <w:pPr>
        <w:rPr>
          <w:rFonts w:ascii="Arial" w:hAnsi="Arial" w:cs="Arial"/>
        </w:rPr>
      </w:pPr>
    </w:p>
    <w:p w14:paraId="2E4B8265" w14:textId="3283AABE" w:rsidR="00F92F23" w:rsidRPr="00F92F23" w:rsidRDefault="00F92F23">
      <w:pPr>
        <w:rPr>
          <w:rFonts w:ascii="Arial" w:hAnsi="Arial" w:cs="Arial"/>
          <w:i/>
        </w:rPr>
      </w:pPr>
      <w:r w:rsidRPr="00F92F23">
        <w:rPr>
          <w:rFonts w:ascii="Arial" w:hAnsi="Arial" w:cs="Arial"/>
          <w:i/>
        </w:rPr>
        <w:t>Assurance-médicaments et autres innovations en matière de politiques</w:t>
      </w:r>
    </w:p>
    <w:p w14:paraId="21D63A34" w14:textId="77777777" w:rsidR="00F92F23" w:rsidRDefault="00F92F23">
      <w:pPr>
        <w:rPr>
          <w:rFonts w:ascii="Arial" w:hAnsi="Arial" w:cs="Arial"/>
        </w:rPr>
      </w:pPr>
    </w:p>
    <w:p w14:paraId="003A0A4D" w14:textId="049040C2" w:rsidR="00F92F23" w:rsidRDefault="00F92F23">
      <w:pPr>
        <w:rPr>
          <w:rFonts w:ascii="Arial" w:hAnsi="Arial" w:cs="Arial"/>
        </w:rPr>
      </w:pPr>
      <w:r>
        <w:rPr>
          <w:rFonts w:ascii="Arial" w:hAnsi="Arial" w:cs="Arial"/>
        </w:rPr>
        <w:t>Fournir</w:t>
      </w:r>
      <w:r w:rsidR="00D45A25">
        <w:rPr>
          <w:rFonts w:ascii="Arial" w:hAnsi="Arial" w:cs="Arial"/>
        </w:rPr>
        <w:t xml:space="preserve"> à la communauté touchée par </w:t>
      </w:r>
      <w:r w:rsidR="007857B1">
        <w:rPr>
          <w:rFonts w:ascii="Arial" w:hAnsi="Arial" w:cs="Arial"/>
        </w:rPr>
        <w:t>une perte de</w:t>
      </w:r>
      <w:r w:rsidR="00D45A25">
        <w:rPr>
          <w:rFonts w:ascii="Arial" w:hAnsi="Arial" w:cs="Arial"/>
        </w:rPr>
        <w:t xml:space="preserve"> vision un accès aux traitements et aux ressources dont elle a besoin constitue un engagement de taille. </w:t>
      </w:r>
      <w:r w:rsidR="00A22D51">
        <w:rPr>
          <w:rFonts w:ascii="Arial" w:hAnsi="Arial" w:cs="Arial"/>
        </w:rPr>
        <w:t xml:space="preserve">Le faire au </w:t>
      </w:r>
      <w:r w:rsidR="00A22D51">
        <w:rPr>
          <w:rFonts w:ascii="Arial" w:hAnsi="Arial" w:cs="Arial"/>
        </w:rPr>
        <w:lastRenderedPageBreak/>
        <w:t xml:space="preserve">sein d’un système de santé complexe qui peine souvent à </w:t>
      </w:r>
      <w:r w:rsidR="00E209BE">
        <w:rPr>
          <w:rFonts w:ascii="Arial" w:hAnsi="Arial" w:cs="Arial"/>
        </w:rPr>
        <w:t>fournir</w:t>
      </w:r>
      <w:r w:rsidR="00A22D51">
        <w:rPr>
          <w:rFonts w:ascii="Arial" w:hAnsi="Arial" w:cs="Arial"/>
        </w:rPr>
        <w:t xml:space="preserve"> des soins externes à l’hôpital à certaines couches de la population </w:t>
      </w:r>
      <w:r w:rsidR="00F72925">
        <w:rPr>
          <w:rFonts w:ascii="Arial" w:hAnsi="Arial" w:cs="Arial"/>
        </w:rPr>
        <w:t>s’avère</w:t>
      </w:r>
      <w:r w:rsidR="00A22D51">
        <w:rPr>
          <w:rFonts w:ascii="Arial" w:hAnsi="Arial" w:cs="Arial"/>
        </w:rPr>
        <w:t xml:space="preserve"> d’autant plus difficile.</w:t>
      </w:r>
      <w:r w:rsidR="007C5759">
        <w:rPr>
          <w:rFonts w:ascii="Arial" w:hAnsi="Arial" w:cs="Arial"/>
        </w:rPr>
        <w:t xml:space="preserve"> Pour réaliser les progrès nécessaires en 2020 et au cours de la décennie, les parties prenantes au sein du gouvernement, de l’industrie, du monde de la recherche et des communautés de patients devront collaborer étroitement. Ce sentiment se dégage nettement dans la rétroaction fournie par la communauté touchée par la perte de la vision : nombre de personnes ont appelé à une collaboration accrue et renforcée, particulièrement du gouvernement</w:t>
      </w:r>
      <w:r w:rsidR="00D45A25">
        <w:rPr>
          <w:rFonts w:ascii="Arial" w:hAnsi="Arial" w:cs="Arial"/>
        </w:rPr>
        <w:t xml:space="preserve"> </w:t>
      </w:r>
      <w:r w:rsidR="007C5759">
        <w:rPr>
          <w:rFonts w:ascii="Arial" w:hAnsi="Arial" w:cs="Arial"/>
        </w:rPr>
        <w:t xml:space="preserve">et de l’industrie. </w:t>
      </w:r>
      <w:r w:rsidR="008B10C8">
        <w:rPr>
          <w:rFonts w:ascii="Arial" w:hAnsi="Arial" w:cs="Arial"/>
        </w:rPr>
        <w:t xml:space="preserve">D’autres ont fait part de sentiments d’impuissance et d’isolement devant les systèmes complexes et les organismes décisionnaires </w:t>
      </w:r>
      <w:r w:rsidR="006E4C56" w:rsidRPr="00F72925">
        <w:rPr>
          <w:rFonts w:ascii="Arial" w:hAnsi="Arial" w:cs="Arial"/>
        </w:rPr>
        <w:t xml:space="preserve">dont le fonctionnement semble très </w:t>
      </w:r>
      <w:r w:rsidR="00F72925" w:rsidRPr="00F72925">
        <w:rPr>
          <w:rFonts w:ascii="Arial" w:hAnsi="Arial" w:cs="Arial"/>
        </w:rPr>
        <w:t>éloigné</w:t>
      </w:r>
      <w:r w:rsidR="006E4C56" w:rsidRPr="00F72925">
        <w:rPr>
          <w:rFonts w:ascii="Arial" w:hAnsi="Arial" w:cs="Arial"/>
        </w:rPr>
        <w:t xml:space="preserve"> de l’expérience </w:t>
      </w:r>
      <w:r w:rsidR="00F72925">
        <w:rPr>
          <w:rFonts w:ascii="Arial" w:hAnsi="Arial" w:cs="Arial"/>
        </w:rPr>
        <w:t>quotidienne des membres de la communauté</w:t>
      </w:r>
      <w:r w:rsidR="006E4C56">
        <w:rPr>
          <w:rFonts w:ascii="Arial" w:hAnsi="Arial" w:cs="Arial"/>
        </w:rPr>
        <w:t xml:space="preserve">. Mettre en place de nouvelles politiques progressistes mieux à même de refléter les nombreuses voix de notre pays exige que nous reconnaissions la valeur des perspectives de chacun. </w:t>
      </w:r>
    </w:p>
    <w:p w14:paraId="69E22FF7" w14:textId="77777777" w:rsidR="00BB7C90" w:rsidRDefault="00BB7C90">
      <w:pPr>
        <w:rPr>
          <w:rFonts w:ascii="Arial" w:hAnsi="Arial" w:cs="Arial"/>
        </w:rPr>
      </w:pPr>
    </w:p>
    <w:p w14:paraId="25570973" w14:textId="24BDC8CD" w:rsidR="00BB7C90" w:rsidRDefault="00BB7C90">
      <w:pPr>
        <w:rPr>
          <w:rFonts w:ascii="Arial" w:hAnsi="Arial" w:cs="Arial"/>
        </w:rPr>
      </w:pPr>
      <w:r>
        <w:rPr>
          <w:rFonts w:ascii="Arial" w:hAnsi="Arial" w:cs="Arial"/>
        </w:rPr>
        <w:t xml:space="preserve">La communauté touchée par </w:t>
      </w:r>
      <w:r w:rsidR="007857B1">
        <w:rPr>
          <w:rFonts w:ascii="Arial" w:hAnsi="Arial" w:cs="Arial"/>
        </w:rPr>
        <w:t>une perte de</w:t>
      </w:r>
      <w:r>
        <w:rPr>
          <w:rFonts w:ascii="Arial" w:hAnsi="Arial" w:cs="Arial"/>
        </w:rPr>
        <w:t xml:space="preserve"> vision et bien d’autres partout au pays </w:t>
      </w:r>
      <w:r w:rsidR="00F72925">
        <w:rPr>
          <w:rFonts w:ascii="Arial" w:hAnsi="Arial" w:cs="Arial"/>
        </w:rPr>
        <w:t>son</w:t>
      </w:r>
      <w:r>
        <w:rPr>
          <w:rFonts w:ascii="Arial" w:hAnsi="Arial" w:cs="Arial"/>
        </w:rPr>
        <w:t>t régulièrement confrontée</w:t>
      </w:r>
      <w:r w:rsidR="00F72925">
        <w:rPr>
          <w:rFonts w:ascii="Arial" w:hAnsi="Arial" w:cs="Arial"/>
        </w:rPr>
        <w:t>s</w:t>
      </w:r>
      <w:r>
        <w:rPr>
          <w:rFonts w:ascii="Arial" w:hAnsi="Arial" w:cs="Arial"/>
        </w:rPr>
        <w:t xml:space="preserve"> aux pénuries et aux retraits de médicaments. Ce problème est désormais si courant que le site Web de Santé Canada recense </w:t>
      </w:r>
      <w:r w:rsidR="007857B1">
        <w:rPr>
          <w:rFonts w:ascii="Arial" w:hAnsi="Arial" w:cs="Arial"/>
        </w:rPr>
        <w:t>en ce moment</w:t>
      </w:r>
      <w:r w:rsidR="00B95398">
        <w:rPr>
          <w:rFonts w:ascii="Arial" w:hAnsi="Arial" w:cs="Arial"/>
        </w:rPr>
        <w:t xml:space="preserve"> près de 2000 médicaments en situation de pénurie. </w:t>
      </w:r>
      <w:r w:rsidR="00F72925">
        <w:rPr>
          <w:rFonts w:ascii="Arial" w:hAnsi="Arial" w:cs="Arial"/>
        </w:rPr>
        <w:t>En conséquence,</w:t>
      </w:r>
      <w:r w:rsidR="00B95398">
        <w:rPr>
          <w:rFonts w:ascii="Arial" w:hAnsi="Arial" w:cs="Arial"/>
        </w:rPr>
        <w:t xml:space="preserve"> les cliniciens </w:t>
      </w:r>
      <w:r w:rsidR="00F72925">
        <w:rPr>
          <w:rFonts w:ascii="Arial" w:hAnsi="Arial" w:cs="Arial"/>
        </w:rPr>
        <w:t>ont</w:t>
      </w:r>
      <w:r w:rsidR="00B95398">
        <w:rPr>
          <w:rFonts w:ascii="Arial" w:hAnsi="Arial" w:cs="Arial"/>
        </w:rPr>
        <w:t xml:space="preserve"> souvent</w:t>
      </w:r>
      <w:r w:rsidR="00F72925">
        <w:rPr>
          <w:rFonts w:ascii="Arial" w:hAnsi="Arial" w:cs="Arial"/>
        </w:rPr>
        <w:t xml:space="preserve"> du mal</w:t>
      </w:r>
      <w:r w:rsidR="00B95398">
        <w:rPr>
          <w:rFonts w:ascii="Arial" w:hAnsi="Arial" w:cs="Arial"/>
        </w:rPr>
        <w:t xml:space="preserve"> à trouver des médicam</w:t>
      </w:r>
      <w:r w:rsidR="00F72925">
        <w:rPr>
          <w:rFonts w:ascii="Arial" w:hAnsi="Arial" w:cs="Arial"/>
        </w:rPr>
        <w:t>ents de substitution adaptés et</w:t>
      </w:r>
      <w:r w:rsidR="00B95398">
        <w:rPr>
          <w:rFonts w:ascii="Arial" w:hAnsi="Arial" w:cs="Arial"/>
        </w:rPr>
        <w:t xml:space="preserve">, dans bien des cas, les opérations et les traitements sont retardés, ce qui peut conduire à une aggravation du problème. </w:t>
      </w:r>
      <w:r w:rsidR="00B5320C">
        <w:rPr>
          <w:rFonts w:ascii="Arial" w:hAnsi="Arial" w:cs="Arial"/>
        </w:rPr>
        <w:t xml:space="preserve">Il s’agit d’une importante source de stress pour les </w:t>
      </w:r>
      <w:r w:rsidR="003D3566">
        <w:rPr>
          <w:rFonts w:ascii="Arial" w:hAnsi="Arial" w:cs="Arial"/>
        </w:rPr>
        <w:t xml:space="preserve">patientes, les </w:t>
      </w:r>
      <w:r w:rsidR="00B5320C">
        <w:rPr>
          <w:rFonts w:ascii="Arial" w:hAnsi="Arial" w:cs="Arial"/>
        </w:rPr>
        <w:t>patients et les personnes aidantes. Le premier ministre a directement abordé le problème dans sa lettre de mandat à la nouvelle ministre de la Santé, précisant que l’on devait « </w:t>
      </w:r>
      <w:r w:rsidR="00D14ADE">
        <w:rPr>
          <w:rFonts w:ascii="Arial" w:hAnsi="Arial" w:cs="Arial"/>
        </w:rPr>
        <w:t xml:space="preserve">faire en sorte que les </w:t>
      </w:r>
      <w:r w:rsidR="007857B1">
        <w:rPr>
          <w:rFonts w:ascii="Arial" w:hAnsi="Arial" w:cs="Arial"/>
        </w:rPr>
        <w:t xml:space="preserve">Canadiennes et </w:t>
      </w:r>
      <w:r w:rsidR="00D14ADE">
        <w:rPr>
          <w:rFonts w:ascii="Arial" w:hAnsi="Arial" w:cs="Arial"/>
        </w:rPr>
        <w:t xml:space="preserve">Canadiens </w:t>
      </w:r>
      <w:r w:rsidR="00A87215">
        <w:rPr>
          <w:rFonts w:ascii="Arial" w:hAnsi="Arial" w:cs="Arial"/>
        </w:rPr>
        <w:t>[aient]</w:t>
      </w:r>
      <w:r w:rsidR="00D14ADE">
        <w:rPr>
          <w:rFonts w:ascii="Arial" w:hAnsi="Arial" w:cs="Arial"/>
        </w:rPr>
        <w:t xml:space="preserve"> accès aux médicaments dont ils ont besoin, en prenant des mesures en collaboration avec les fabricants, les provinces et les territoires, et d’autres intervenants dans le but de régler les pénuries de médicaments</w:t>
      </w:r>
      <w:r w:rsidR="00B5320C">
        <w:rPr>
          <w:rStyle w:val="Appelnotedebasdep"/>
          <w:rFonts w:ascii="Arial" w:hAnsi="Arial" w:cs="Arial"/>
        </w:rPr>
        <w:footnoteReference w:id="7"/>
      </w:r>
      <w:r w:rsidR="003147BC">
        <w:rPr>
          <w:rFonts w:ascii="Arial" w:hAnsi="Arial" w:cs="Arial"/>
        </w:rPr>
        <w:t> »</w:t>
      </w:r>
      <w:r w:rsidR="007857B1">
        <w:rPr>
          <w:rFonts w:ascii="Arial" w:hAnsi="Arial" w:cs="Arial"/>
        </w:rPr>
        <w:t>.</w:t>
      </w:r>
    </w:p>
    <w:p w14:paraId="5A013F0D" w14:textId="77777777" w:rsidR="003A46C9" w:rsidRDefault="003A46C9">
      <w:pPr>
        <w:rPr>
          <w:rFonts w:ascii="Arial" w:hAnsi="Arial" w:cs="Arial"/>
        </w:rPr>
      </w:pPr>
    </w:p>
    <w:p w14:paraId="7CDCAA2A" w14:textId="41BEDA3A" w:rsidR="003A46C9" w:rsidRDefault="003A46C9">
      <w:pPr>
        <w:rPr>
          <w:rFonts w:ascii="Arial" w:hAnsi="Arial" w:cs="Arial"/>
        </w:rPr>
      </w:pPr>
      <w:r>
        <w:rPr>
          <w:rFonts w:ascii="Arial" w:hAnsi="Arial" w:cs="Arial"/>
        </w:rPr>
        <w:t xml:space="preserve">La possibilité d’un régime </w:t>
      </w:r>
      <w:r w:rsidR="004F5FCA">
        <w:rPr>
          <w:rFonts w:ascii="Arial" w:hAnsi="Arial" w:cs="Arial"/>
        </w:rPr>
        <w:t>national</w:t>
      </w:r>
      <w:r>
        <w:rPr>
          <w:rFonts w:ascii="Arial" w:hAnsi="Arial" w:cs="Arial"/>
        </w:rPr>
        <w:t xml:space="preserve"> d’assurance-médicaments constitue en outre une question prioritaire pour les responsables des politiques et les professionnels de la santé. Dans les conversations au sujet de l’avenir des soins de la vue au Canada (ou toute autre forme de soins, d’ailleurs), l’assurance-médicaments fait incontestablement figure d’éléphant dans la pièce. Pour ne rien arranger, la façon dont l’assurance-médicaments affectera les enjeux d’accès et d’équité dépend presque entièrement de la forme que prendra en dernier lieu notre régime </w:t>
      </w:r>
      <w:r w:rsidR="004F5FCA">
        <w:rPr>
          <w:rFonts w:ascii="Arial" w:hAnsi="Arial" w:cs="Arial"/>
        </w:rPr>
        <w:t>national</w:t>
      </w:r>
      <w:r>
        <w:rPr>
          <w:rFonts w:ascii="Arial" w:hAnsi="Arial" w:cs="Arial"/>
        </w:rPr>
        <w:t xml:space="preserve">. </w:t>
      </w:r>
      <w:r w:rsidR="00601530">
        <w:rPr>
          <w:rFonts w:ascii="Arial" w:hAnsi="Arial" w:cs="Arial"/>
        </w:rPr>
        <w:t>Ces détails étant toujours</w:t>
      </w:r>
      <w:r w:rsidR="00DA7D83">
        <w:rPr>
          <w:rFonts w:ascii="Arial" w:hAnsi="Arial" w:cs="Arial"/>
        </w:rPr>
        <w:t xml:space="preserve"> en discussion, </w:t>
      </w:r>
      <w:r w:rsidR="00601530">
        <w:rPr>
          <w:rFonts w:ascii="Arial" w:hAnsi="Arial" w:cs="Arial"/>
        </w:rPr>
        <w:t>le rôle que jouera l’assurance-médicaments en matière d’équité et d’accès demeure incertain.</w:t>
      </w:r>
    </w:p>
    <w:p w14:paraId="381BDCAF" w14:textId="77777777" w:rsidR="003E7289" w:rsidRDefault="003E7289">
      <w:pPr>
        <w:rPr>
          <w:rFonts w:ascii="Arial" w:hAnsi="Arial" w:cs="Arial"/>
        </w:rPr>
      </w:pPr>
    </w:p>
    <w:p w14:paraId="1FEDFF1E" w14:textId="4E740BED" w:rsidR="003E7289" w:rsidRDefault="008A6B21">
      <w:pPr>
        <w:rPr>
          <w:rFonts w:ascii="Arial" w:hAnsi="Arial" w:cs="Arial"/>
        </w:rPr>
      </w:pPr>
      <w:r>
        <w:rPr>
          <w:rFonts w:ascii="Arial" w:hAnsi="Arial" w:cs="Arial"/>
        </w:rPr>
        <w:t xml:space="preserve">Malgré tout, la communauté touchée par </w:t>
      </w:r>
      <w:r w:rsidR="003147BC">
        <w:rPr>
          <w:rFonts w:ascii="Arial" w:hAnsi="Arial" w:cs="Arial"/>
        </w:rPr>
        <w:t>une</w:t>
      </w:r>
      <w:r>
        <w:rPr>
          <w:rFonts w:ascii="Arial" w:hAnsi="Arial" w:cs="Arial"/>
        </w:rPr>
        <w:t xml:space="preserve"> perte de vision </w:t>
      </w:r>
      <w:r w:rsidR="00872776">
        <w:rPr>
          <w:rFonts w:ascii="Arial" w:hAnsi="Arial" w:cs="Arial"/>
        </w:rPr>
        <w:t xml:space="preserve">a </w:t>
      </w:r>
      <w:r w:rsidR="00F72925">
        <w:rPr>
          <w:rFonts w:ascii="Arial" w:hAnsi="Arial" w:cs="Arial"/>
        </w:rPr>
        <w:t>exprimé</w:t>
      </w:r>
      <w:r w:rsidR="00872776">
        <w:rPr>
          <w:rFonts w:ascii="Arial" w:hAnsi="Arial" w:cs="Arial"/>
        </w:rPr>
        <w:t xml:space="preserve"> ce</w:t>
      </w:r>
      <w:r w:rsidR="00F72925">
        <w:rPr>
          <w:rFonts w:ascii="Arial" w:hAnsi="Arial" w:cs="Arial"/>
        </w:rPr>
        <w:t xml:space="preserve">rtains </w:t>
      </w:r>
      <w:r w:rsidR="008B529F">
        <w:rPr>
          <w:rFonts w:ascii="Arial" w:hAnsi="Arial" w:cs="Arial"/>
        </w:rPr>
        <w:t xml:space="preserve">doutes et </w:t>
      </w:r>
      <w:r w:rsidR="00F72925">
        <w:rPr>
          <w:rFonts w:ascii="Arial" w:hAnsi="Arial" w:cs="Arial"/>
        </w:rPr>
        <w:t>espoirs relativement</w:t>
      </w:r>
      <w:r w:rsidR="00872776">
        <w:rPr>
          <w:rFonts w:ascii="Arial" w:hAnsi="Arial" w:cs="Arial"/>
        </w:rPr>
        <w:t xml:space="preserve"> à l’initiative d’une assurance-médicaments </w:t>
      </w:r>
      <w:r w:rsidR="004F5FCA">
        <w:rPr>
          <w:rFonts w:ascii="Arial" w:hAnsi="Arial" w:cs="Arial"/>
        </w:rPr>
        <w:t>national</w:t>
      </w:r>
      <w:r w:rsidR="00872776">
        <w:rPr>
          <w:rFonts w:ascii="Arial" w:hAnsi="Arial" w:cs="Arial"/>
        </w:rPr>
        <w:t xml:space="preserve">e. De nombreux membres de la communauté considèrent celle-ci avec optimisme, estimant qu’un régime efficace pourrait combler les lacunes actuelles au chapitre des soins pharmaceutiques. L’assurance-médicaments </w:t>
      </w:r>
      <w:r w:rsidR="00892FD4">
        <w:rPr>
          <w:rFonts w:ascii="Arial" w:hAnsi="Arial" w:cs="Arial"/>
        </w:rPr>
        <w:t xml:space="preserve">permettrait au Canada d’harmoniser sa politique avec celles d’autres pays industrialisés, et de réduire ou de pallier ses lacunes </w:t>
      </w:r>
      <w:r w:rsidR="003147BC">
        <w:rPr>
          <w:rFonts w:ascii="Arial" w:hAnsi="Arial" w:cs="Arial"/>
        </w:rPr>
        <w:t>et ainsi</w:t>
      </w:r>
      <w:r w:rsidR="00892FD4">
        <w:rPr>
          <w:rFonts w:ascii="Arial" w:hAnsi="Arial" w:cs="Arial"/>
        </w:rPr>
        <w:t xml:space="preserve"> s’assurer que </w:t>
      </w:r>
      <w:r w:rsidR="003147BC">
        <w:rPr>
          <w:rFonts w:ascii="Arial" w:hAnsi="Arial" w:cs="Arial"/>
        </w:rPr>
        <w:t xml:space="preserve">celles et </w:t>
      </w:r>
      <w:r w:rsidR="00892FD4">
        <w:rPr>
          <w:rFonts w:ascii="Arial" w:hAnsi="Arial" w:cs="Arial"/>
        </w:rPr>
        <w:t>ceux qui dépendent de médicaments pour traiter des maladies ocu</w:t>
      </w:r>
      <w:r w:rsidR="009E08B9">
        <w:rPr>
          <w:rFonts w:ascii="Arial" w:hAnsi="Arial" w:cs="Arial"/>
        </w:rPr>
        <w:t>laires et d’autres états ne so</w:t>
      </w:r>
      <w:r w:rsidR="00892FD4">
        <w:rPr>
          <w:rFonts w:ascii="Arial" w:hAnsi="Arial" w:cs="Arial"/>
        </w:rPr>
        <w:t xml:space="preserve">nt pas laissés pour compte. </w:t>
      </w:r>
      <w:r w:rsidR="00AE4E2F">
        <w:rPr>
          <w:rFonts w:ascii="Arial" w:hAnsi="Arial" w:cs="Arial"/>
        </w:rPr>
        <w:t xml:space="preserve">D’autres s’inquiètent des </w:t>
      </w:r>
      <w:r w:rsidR="00C54C6E">
        <w:rPr>
          <w:rFonts w:ascii="Arial" w:hAnsi="Arial" w:cs="Arial"/>
        </w:rPr>
        <w:t>conséquences</w:t>
      </w:r>
      <w:r w:rsidR="00AE4E2F">
        <w:rPr>
          <w:rFonts w:ascii="Arial" w:hAnsi="Arial" w:cs="Arial"/>
        </w:rPr>
        <w:t xml:space="preserve"> d’une assurance-médicaments </w:t>
      </w:r>
      <w:r w:rsidR="004F5FCA">
        <w:rPr>
          <w:rFonts w:ascii="Arial" w:hAnsi="Arial" w:cs="Arial"/>
        </w:rPr>
        <w:lastRenderedPageBreak/>
        <w:t>national</w:t>
      </w:r>
      <w:r w:rsidR="00AE4E2F">
        <w:rPr>
          <w:rFonts w:ascii="Arial" w:hAnsi="Arial" w:cs="Arial"/>
        </w:rPr>
        <w:t xml:space="preserve">e en ce qui a trait aux </w:t>
      </w:r>
      <w:r w:rsidR="00C54C6E">
        <w:rPr>
          <w:rFonts w:ascii="Arial" w:hAnsi="Arial" w:cs="Arial"/>
        </w:rPr>
        <w:t>supposés</w:t>
      </w:r>
      <w:r w:rsidR="00AE4E2F">
        <w:rPr>
          <w:rFonts w:ascii="Arial" w:hAnsi="Arial" w:cs="Arial"/>
        </w:rPr>
        <w:t xml:space="preserve"> médicaments coûteux destinés au traitement des maladies rares</w:t>
      </w:r>
      <w:r w:rsidR="00D24B8B">
        <w:rPr>
          <w:rFonts w:ascii="Arial" w:hAnsi="Arial" w:cs="Arial"/>
        </w:rPr>
        <w:t xml:space="preserve">. Un régime </w:t>
      </w:r>
      <w:r w:rsidR="004F5FCA">
        <w:rPr>
          <w:rFonts w:ascii="Arial" w:hAnsi="Arial" w:cs="Arial"/>
        </w:rPr>
        <w:t>national</w:t>
      </w:r>
      <w:r w:rsidR="00D24B8B">
        <w:rPr>
          <w:rFonts w:ascii="Arial" w:hAnsi="Arial" w:cs="Arial"/>
        </w:rPr>
        <w:t xml:space="preserve"> pourrait faciliter l’accès aux médicaments d’emploi courant, mais certains craignent qu’il complique l’accès à des médicaments plus rares, particulièrement ceux destinés à de petites populations de patients. </w:t>
      </w:r>
    </w:p>
    <w:p w14:paraId="674CD092" w14:textId="77777777" w:rsidR="00D243F9" w:rsidRDefault="00D243F9">
      <w:pPr>
        <w:rPr>
          <w:rFonts w:ascii="Arial" w:hAnsi="Arial" w:cs="Arial"/>
        </w:rPr>
      </w:pPr>
    </w:p>
    <w:p w14:paraId="08EA6867" w14:textId="5C2DD1AB" w:rsidR="00D243F9" w:rsidRDefault="002643E6">
      <w:pPr>
        <w:rPr>
          <w:rFonts w:ascii="Arial" w:hAnsi="Arial" w:cs="Arial"/>
        </w:rPr>
      </w:pPr>
      <w:r>
        <w:rPr>
          <w:rFonts w:ascii="Arial" w:hAnsi="Arial" w:cs="Arial"/>
        </w:rPr>
        <w:t>À l’heure actuelle, chaque province et territoire canadien doit négocier avec l’industrie pharmaceutique</w:t>
      </w:r>
      <w:r w:rsidR="00F7674B">
        <w:rPr>
          <w:rFonts w:ascii="Arial" w:hAnsi="Arial" w:cs="Arial"/>
        </w:rPr>
        <w:t xml:space="preserve"> </w:t>
      </w:r>
      <w:r w:rsidR="00C4435A">
        <w:rPr>
          <w:rFonts w:ascii="Arial" w:hAnsi="Arial" w:cs="Arial"/>
        </w:rPr>
        <w:t>pour son propre compte</w:t>
      </w:r>
      <w:r w:rsidR="00F7674B">
        <w:rPr>
          <w:rFonts w:ascii="Arial" w:hAnsi="Arial" w:cs="Arial"/>
        </w:rPr>
        <w:t xml:space="preserve">, bien que </w:t>
      </w:r>
      <w:r w:rsidR="00C4435A">
        <w:rPr>
          <w:rFonts w:ascii="Arial" w:hAnsi="Arial" w:cs="Arial"/>
        </w:rPr>
        <w:t>le</w:t>
      </w:r>
      <w:r w:rsidR="00F7674B">
        <w:rPr>
          <w:rFonts w:ascii="Arial" w:hAnsi="Arial" w:cs="Arial"/>
        </w:rPr>
        <w:t xml:space="preserve">s démarches soient coordonnées par l’entremise de l’APP. Un régime </w:t>
      </w:r>
      <w:r w:rsidR="004F5FCA">
        <w:rPr>
          <w:rFonts w:ascii="Arial" w:hAnsi="Arial" w:cs="Arial"/>
        </w:rPr>
        <w:t>national</w:t>
      </w:r>
      <w:r w:rsidR="00F7674B">
        <w:rPr>
          <w:rFonts w:ascii="Arial" w:hAnsi="Arial" w:cs="Arial"/>
        </w:rPr>
        <w:t xml:space="preserve"> d’assurance-médicaments pourrait se traduire par un pouvoir d’achat accru, puisque l’ensemble du pays et non plus chaque province ou territoire négocierait alors l’accès. Certains membres de la communauté se réjouissent quant aux possibilités </w:t>
      </w:r>
      <w:r w:rsidR="00D40EBC">
        <w:rPr>
          <w:rFonts w:ascii="Arial" w:hAnsi="Arial" w:cs="Arial"/>
        </w:rPr>
        <w:t xml:space="preserve">offertes par ce pouvoir de négociation renforcé, </w:t>
      </w:r>
      <w:r w:rsidR="00C4435A">
        <w:rPr>
          <w:rFonts w:ascii="Arial" w:hAnsi="Arial" w:cs="Arial"/>
        </w:rPr>
        <w:t>susceptible d’</w:t>
      </w:r>
      <w:r w:rsidR="00D40EBC">
        <w:rPr>
          <w:rFonts w:ascii="Arial" w:hAnsi="Arial" w:cs="Arial"/>
        </w:rPr>
        <w:t>aboutir à une réduction du plafond des prix des médicaments au Canada, actuellement parmi les plus chers au monde pour les nouveaux médicaments comme pour les génériques</w:t>
      </w:r>
      <w:r w:rsidR="00D40EBC">
        <w:rPr>
          <w:rStyle w:val="Appelnotedebasdep"/>
          <w:rFonts w:ascii="Arial" w:hAnsi="Arial" w:cs="Arial"/>
        </w:rPr>
        <w:footnoteReference w:id="8"/>
      </w:r>
      <w:r w:rsidR="00D40EBC">
        <w:rPr>
          <w:rFonts w:ascii="Arial" w:hAnsi="Arial" w:cs="Arial"/>
        </w:rPr>
        <w:t xml:space="preserve">. </w:t>
      </w:r>
      <w:r w:rsidR="00D760D9">
        <w:rPr>
          <w:rFonts w:ascii="Arial" w:hAnsi="Arial" w:cs="Arial"/>
        </w:rPr>
        <w:t xml:space="preserve">D’autres craignent que des prix plus bas dissuadent les sociétés proposant des nouvelles classes de médicaments. Ces dernières requièrent d’importants investissements en recherche et développement, ce qui se </w:t>
      </w:r>
      <w:r w:rsidR="00504700">
        <w:rPr>
          <w:rFonts w:ascii="Arial" w:hAnsi="Arial" w:cs="Arial"/>
        </w:rPr>
        <w:t>répercute</w:t>
      </w:r>
      <w:r w:rsidR="00D760D9">
        <w:rPr>
          <w:rFonts w:ascii="Arial" w:hAnsi="Arial" w:cs="Arial"/>
        </w:rPr>
        <w:t xml:space="preserve"> ensuite </w:t>
      </w:r>
      <w:r w:rsidR="00504700">
        <w:rPr>
          <w:rFonts w:ascii="Arial" w:hAnsi="Arial" w:cs="Arial"/>
        </w:rPr>
        <w:t>sur</w:t>
      </w:r>
      <w:r w:rsidR="00D760D9">
        <w:rPr>
          <w:rFonts w:ascii="Arial" w:hAnsi="Arial" w:cs="Arial"/>
        </w:rPr>
        <w:t xml:space="preserve"> les prix établis par les sociétés. </w:t>
      </w:r>
      <w:r w:rsidR="00B230CA">
        <w:rPr>
          <w:rFonts w:ascii="Arial" w:hAnsi="Arial" w:cs="Arial"/>
        </w:rPr>
        <w:t xml:space="preserve">La question demeure : le fait d’obtenir de meilleurs prix empêchera-t-il </w:t>
      </w:r>
      <w:r w:rsidR="003147BC">
        <w:rPr>
          <w:rFonts w:ascii="Arial" w:hAnsi="Arial" w:cs="Arial"/>
        </w:rPr>
        <w:t xml:space="preserve">la commercialisation au Canada </w:t>
      </w:r>
      <w:r w:rsidR="00B230CA">
        <w:rPr>
          <w:rFonts w:ascii="Arial" w:hAnsi="Arial" w:cs="Arial"/>
        </w:rPr>
        <w:t>de</w:t>
      </w:r>
      <w:r w:rsidR="003147BC">
        <w:rPr>
          <w:rFonts w:ascii="Arial" w:hAnsi="Arial" w:cs="Arial"/>
        </w:rPr>
        <w:t xml:space="preserve"> nouveaux</w:t>
      </w:r>
      <w:r w:rsidR="00B230CA">
        <w:rPr>
          <w:rFonts w:ascii="Arial" w:hAnsi="Arial" w:cs="Arial"/>
        </w:rPr>
        <w:t xml:space="preserve"> médicaments et des technologies innovantes?</w:t>
      </w:r>
    </w:p>
    <w:p w14:paraId="26EF3DFF" w14:textId="77777777" w:rsidR="00B230CA" w:rsidRDefault="00B230CA">
      <w:pPr>
        <w:rPr>
          <w:rFonts w:ascii="Arial" w:hAnsi="Arial" w:cs="Arial"/>
        </w:rPr>
      </w:pPr>
    </w:p>
    <w:p w14:paraId="432A35CE" w14:textId="002D9802" w:rsidR="00B230CA" w:rsidRDefault="00DA0A64">
      <w:pPr>
        <w:rPr>
          <w:rFonts w:ascii="Arial" w:hAnsi="Arial" w:cs="Arial"/>
        </w:rPr>
      </w:pPr>
      <w:r>
        <w:rPr>
          <w:rFonts w:ascii="Arial" w:hAnsi="Arial" w:cs="Arial"/>
        </w:rPr>
        <w:t xml:space="preserve">En parallèle, des membres de la communauté craignent qu’une assurance-médicaments </w:t>
      </w:r>
      <w:r w:rsidR="004F5FCA">
        <w:rPr>
          <w:rFonts w:ascii="Arial" w:hAnsi="Arial" w:cs="Arial"/>
        </w:rPr>
        <w:t>national</w:t>
      </w:r>
      <w:r>
        <w:rPr>
          <w:rFonts w:ascii="Arial" w:hAnsi="Arial" w:cs="Arial"/>
        </w:rPr>
        <w:t xml:space="preserve">e </w:t>
      </w:r>
      <w:r w:rsidR="006F649D" w:rsidRPr="00C54C6E">
        <w:rPr>
          <w:rFonts w:ascii="Arial" w:hAnsi="Arial" w:cs="Arial"/>
        </w:rPr>
        <w:t xml:space="preserve">réduise </w:t>
      </w:r>
      <w:r w:rsidR="006F649D">
        <w:rPr>
          <w:rFonts w:ascii="Arial" w:hAnsi="Arial" w:cs="Arial"/>
        </w:rPr>
        <w:t>la</w:t>
      </w:r>
      <w:r>
        <w:rPr>
          <w:rFonts w:ascii="Arial" w:hAnsi="Arial" w:cs="Arial"/>
        </w:rPr>
        <w:t xml:space="preserve"> l</w:t>
      </w:r>
      <w:r w:rsidR="006F649D">
        <w:rPr>
          <w:rFonts w:ascii="Arial" w:hAnsi="Arial" w:cs="Arial"/>
        </w:rPr>
        <w:t>iste des médicaments remboursés</w:t>
      </w:r>
      <w:r w:rsidR="00C54C6E">
        <w:rPr>
          <w:rFonts w:ascii="Arial" w:hAnsi="Arial" w:cs="Arial"/>
        </w:rPr>
        <w:t xml:space="preserve"> ou en limite la prise en charge</w:t>
      </w:r>
      <w:r>
        <w:rPr>
          <w:rFonts w:ascii="Arial" w:hAnsi="Arial" w:cs="Arial"/>
        </w:rPr>
        <w:t>. Pour l’heure, chaque province ou territoire dispose de sa propre liste de technologies</w:t>
      </w:r>
      <w:r w:rsidR="00A7112C">
        <w:rPr>
          <w:rFonts w:ascii="Arial" w:hAnsi="Arial" w:cs="Arial"/>
        </w:rPr>
        <w:t xml:space="preserve"> et de médicaments</w:t>
      </w:r>
      <w:r>
        <w:rPr>
          <w:rFonts w:ascii="Arial" w:hAnsi="Arial" w:cs="Arial"/>
        </w:rPr>
        <w:t xml:space="preserve"> </w:t>
      </w:r>
      <w:r w:rsidR="006F649D">
        <w:rPr>
          <w:rFonts w:ascii="Arial" w:hAnsi="Arial" w:cs="Arial"/>
        </w:rPr>
        <w:t>pris en charge</w:t>
      </w:r>
      <w:r w:rsidR="001D6024">
        <w:rPr>
          <w:rFonts w:ascii="Arial" w:hAnsi="Arial" w:cs="Arial"/>
        </w:rPr>
        <w:t xml:space="preserve"> dans le cadre de</w:t>
      </w:r>
      <w:r w:rsidR="00A7112C">
        <w:rPr>
          <w:rFonts w:ascii="Arial" w:hAnsi="Arial" w:cs="Arial"/>
        </w:rPr>
        <w:t xml:space="preserve"> ses</w:t>
      </w:r>
      <w:r w:rsidR="001D6024">
        <w:rPr>
          <w:rFonts w:ascii="Arial" w:hAnsi="Arial" w:cs="Arial"/>
        </w:rPr>
        <w:t xml:space="preserve"> </w:t>
      </w:r>
      <w:r w:rsidR="001D6024" w:rsidRPr="00927096">
        <w:rPr>
          <w:rFonts w:ascii="Arial" w:hAnsi="Arial" w:cs="Arial"/>
        </w:rPr>
        <w:t>régimes publics</w:t>
      </w:r>
      <w:r w:rsidR="001D6024">
        <w:rPr>
          <w:rFonts w:ascii="Arial" w:hAnsi="Arial" w:cs="Arial"/>
        </w:rPr>
        <w:t>. Parmi les nombreuses questions que soulève</w:t>
      </w:r>
      <w:r>
        <w:rPr>
          <w:rFonts w:ascii="Arial" w:hAnsi="Arial" w:cs="Arial"/>
        </w:rPr>
        <w:t xml:space="preserve"> </w:t>
      </w:r>
      <w:r w:rsidR="001D6024">
        <w:rPr>
          <w:rFonts w:ascii="Arial" w:hAnsi="Arial" w:cs="Arial"/>
        </w:rPr>
        <w:t>l’émergence d’un régime d’assurance-médicaments, il res</w:t>
      </w:r>
      <w:r w:rsidR="006F649D">
        <w:rPr>
          <w:rFonts w:ascii="Arial" w:hAnsi="Arial" w:cs="Arial"/>
        </w:rPr>
        <w:t>te à déterminer si une liste de</w:t>
      </w:r>
      <w:r w:rsidR="001D6024">
        <w:rPr>
          <w:rFonts w:ascii="Arial" w:hAnsi="Arial" w:cs="Arial"/>
        </w:rPr>
        <w:t xml:space="preserve"> médicaments remboursés unique se révélerait aussi </w:t>
      </w:r>
      <w:r w:rsidR="001D6024" w:rsidRPr="00C54C6E">
        <w:rPr>
          <w:rFonts w:ascii="Arial" w:hAnsi="Arial" w:cs="Arial"/>
        </w:rPr>
        <w:t>complète</w:t>
      </w:r>
      <w:r w:rsidR="00C54C6E">
        <w:rPr>
          <w:rFonts w:ascii="Arial" w:hAnsi="Arial" w:cs="Arial"/>
        </w:rPr>
        <w:t xml:space="preserve"> et avantageuse</w:t>
      </w:r>
      <w:r w:rsidR="001D6024">
        <w:rPr>
          <w:rFonts w:ascii="Arial" w:hAnsi="Arial" w:cs="Arial"/>
        </w:rPr>
        <w:t xml:space="preserve"> que les listes provinciales ou territoriales actuelles.</w:t>
      </w:r>
    </w:p>
    <w:p w14:paraId="0CA42891" w14:textId="77777777" w:rsidR="001D6024" w:rsidRDefault="001D6024">
      <w:pPr>
        <w:rPr>
          <w:rFonts w:ascii="Arial" w:hAnsi="Arial" w:cs="Arial"/>
        </w:rPr>
      </w:pPr>
    </w:p>
    <w:p w14:paraId="0B455178" w14:textId="1A971689" w:rsidR="001D6024" w:rsidRPr="00D6127E" w:rsidRDefault="002C5C47">
      <w:pPr>
        <w:rPr>
          <w:rFonts w:ascii="Arial" w:hAnsi="Arial" w:cs="Arial"/>
        </w:rPr>
      </w:pPr>
      <w:r>
        <w:rPr>
          <w:rFonts w:ascii="Arial" w:hAnsi="Arial" w:cs="Arial"/>
        </w:rPr>
        <w:t xml:space="preserve">Qu’il s’agisse d’assurance-médicaments ou d’autres changements aux cadres </w:t>
      </w:r>
      <w:r w:rsidR="006F649D">
        <w:rPr>
          <w:rFonts w:ascii="Arial" w:hAnsi="Arial" w:cs="Arial"/>
        </w:rPr>
        <w:t>stratégiques</w:t>
      </w:r>
      <w:r>
        <w:rPr>
          <w:rFonts w:ascii="Arial" w:hAnsi="Arial" w:cs="Arial"/>
        </w:rPr>
        <w:t xml:space="preserve"> de la santé du Canada, de nombreux membres de la communauté touchée par la perte de la vision insistent sur l’importance d’une approche équilibrée en matière d’équité et d’accès, qui n’améliore pas l’accès aux dépens de l’innovation, ou vice versa. Autrement dit</w:t>
      </w:r>
      <w:r w:rsidR="006F649D">
        <w:rPr>
          <w:rFonts w:ascii="Arial" w:hAnsi="Arial" w:cs="Arial"/>
        </w:rPr>
        <w:t xml:space="preserve">, les membres s’entendent pour affirmer </w:t>
      </w:r>
      <w:r>
        <w:rPr>
          <w:rFonts w:ascii="Arial" w:hAnsi="Arial" w:cs="Arial"/>
        </w:rPr>
        <w:t xml:space="preserve">que d’un côté, les technologies et les médicaments </w:t>
      </w:r>
      <w:r w:rsidR="006F649D">
        <w:rPr>
          <w:rFonts w:ascii="Arial" w:hAnsi="Arial" w:cs="Arial"/>
        </w:rPr>
        <w:t>actuels</w:t>
      </w:r>
      <w:r w:rsidR="00E209BE">
        <w:rPr>
          <w:rFonts w:ascii="Arial" w:hAnsi="Arial" w:cs="Arial"/>
        </w:rPr>
        <w:t xml:space="preserve"> </w:t>
      </w:r>
      <w:r>
        <w:rPr>
          <w:rFonts w:ascii="Arial" w:hAnsi="Arial" w:cs="Arial"/>
        </w:rPr>
        <w:t xml:space="preserve">doivent être largement accessibles à </w:t>
      </w:r>
      <w:r w:rsidR="003147BC">
        <w:rPr>
          <w:rFonts w:ascii="Arial" w:hAnsi="Arial" w:cs="Arial"/>
        </w:rPr>
        <w:t xml:space="preserve">toutes et </w:t>
      </w:r>
      <w:r>
        <w:rPr>
          <w:rFonts w:ascii="Arial" w:hAnsi="Arial" w:cs="Arial"/>
        </w:rPr>
        <w:t>tous</w:t>
      </w:r>
      <w:r w:rsidR="00042E3D">
        <w:rPr>
          <w:rFonts w:ascii="Arial" w:hAnsi="Arial" w:cs="Arial"/>
        </w:rPr>
        <w:t xml:space="preserve">, ce qui n’est </w:t>
      </w:r>
      <w:r w:rsidR="006F649D">
        <w:rPr>
          <w:rFonts w:ascii="Arial" w:hAnsi="Arial" w:cs="Arial"/>
        </w:rPr>
        <w:t>toujours pas</w:t>
      </w:r>
      <w:r w:rsidR="00042E3D">
        <w:rPr>
          <w:rFonts w:ascii="Arial" w:hAnsi="Arial" w:cs="Arial"/>
        </w:rPr>
        <w:t xml:space="preserve"> le cas. D’un autre côté, il nous faut façonner un environnement scientifique et réglementaire favorable aux traitements innovants susceptibles d’améliorer la vie des </w:t>
      </w:r>
      <w:r w:rsidR="003D3566">
        <w:rPr>
          <w:rFonts w:ascii="Arial" w:hAnsi="Arial" w:cs="Arial"/>
        </w:rPr>
        <w:t xml:space="preserve">patientes et </w:t>
      </w:r>
      <w:r w:rsidR="00042E3D">
        <w:rPr>
          <w:rFonts w:ascii="Arial" w:hAnsi="Arial" w:cs="Arial"/>
        </w:rPr>
        <w:t xml:space="preserve">patients, et ce, quelle que soit la taille du marché pour ces traitements. </w:t>
      </w:r>
      <w:r w:rsidR="00A143E5">
        <w:rPr>
          <w:rFonts w:ascii="Arial" w:hAnsi="Arial" w:cs="Arial"/>
        </w:rPr>
        <w:t xml:space="preserve">Les membres de la communauté souhaitent </w:t>
      </w:r>
      <w:r w:rsidR="00A05428">
        <w:rPr>
          <w:rFonts w:ascii="Arial" w:hAnsi="Arial" w:cs="Arial"/>
        </w:rPr>
        <w:t>profit</w:t>
      </w:r>
      <w:r w:rsidR="00A143E5">
        <w:rPr>
          <w:rFonts w:ascii="Arial" w:hAnsi="Arial" w:cs="Arial"/>
        </w:rPr>
        <w:t xml:space="preserve">er de nouveaux traitements, mais sont découragés par les prix actuellement </w:t>
      </w:r>
      <w:r w:rsidR="003147BC">
        <w:rPr>
          <w:rFonts w:ascii="Arial" w:hAnsi="Arial" w:cs="Arial"/>
        </w:rPr>
        <w:t>pratiqués</w:t>
      </w:r>
      <w:r w:rsidR="00A143E5">
        <w:rPr>
          <w:rFonts w:ascii="Arial" w:hAnsi="Arial" w:cs="Arial"/>
        </w:rPr>
        <w:t xml:space="preserve">. </w:t>
      </w:r>
      <w:r w:rsidR="004A3D4D">
        <w:rPr>
          <w:rFonts w:ascii="Arial" w:hAnsi="Arial" w:cs="Arial"/>
        </w:rPr>
        <w:t xml:space="preserve">À compter de 2020, nos politiques et nos cadres devraient viser à améliorer l’accès dans les deux domaines. Pour schématiser, on ne devrait pas choisir entre la thérapie génique et </w:t>
      </w:r>
      <w:r w:rsidR="00A30908">
        <w:rPr>
          <w:rFonts w:ascii="Arial" w:hAnsi="Arial" w:cs="Arial"/>
        </w:rPr>
        <w:t xml:space="preserve">les inhalateurs pour l’asthme. </w:t>
      </w:r>
      <w:r w:rsidR="007063F9">
        <w:rPr>
          <w:rFonts w:ascii="Arial" w:hAnsi="Arial" w:cs="Arial"/>
        </w:rPr>
        <w:t>À l’inverse</w:t>
      </w:r>
      <w:r w:rsidR="00A05428">
        <w:rPr>
          <w:rFonts w:ascii="Arial" w:hAnsi="Arial" w:cs="Arial"/>
        </w:rPr>
        <w:t xml:space="preserve">, les nouvelles politiques améliorant l’accès aux technologies de santé </w:t>
      </w:r>
      <w:r w:rsidR="006F649D">
        <w:rPr>
          <w:rFonts w:ascii="Arial" w:hAnsi="Arial" w:cs="Arial"/>
        </w:rPr>
        <w:t>actuell</w:t>
      </w:r>
      <w:r w:rsidR="00A05428">
        <w:rPr>
          <w:rFonts w:ascii="Arial" w:hAnsi="Arial" w:cs="Arial"/>
        </w:rPr>
        <w:t>es et émergentes bénéficient d’un large soutien.</w:t>
      </w:r>
    </w:p>
    <w:sectPr w:rsidR="001D6024" w:rsidRPr="00D6127E" w:rsidSect="00543B3C">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4421B" w14:textId="77777777" w:rsidR="00512F16" w:rsidRDefault="00512F16" w:rsidP="00BA0388">
      <w:r>
        <w:separator/>
      </w:r>
    </w:p>
  </w:endnote>
  <w:endnote w:type="continuationSeparator" w:id="0">
    <w:p w14:paraId="4D4D821C" w14:textId="77777777" w:rsidR="00512F16" w:rsidRDefault="00512F16"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B1D6B" w14:textId="77777777" w:rsidR="00E5610A" w:rsidRDefault="00E5610A" w:rsidP="003060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B1B9A0" w14:textId="77777777" w:rsidR="00E5610A" w:rsidRDefault="00E5610A" w:rsidP="003060F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C7A6" w14:textId="77777777" w:rsidR="00E5610A" w:rsidRDefault="00E5610A" w:rsidP="003060F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3566">
      <w:rPr>
        <w:rStyle w:val="Numrodepage"/>
        <w:noProof/>
      </w:rPr>
      <w:t>3</w:t>
    </w:r>
    <w:r>
      <w:rPr>
        <w:rStyle w:val="Numrodepage"/>
      </w:rPr>
      <w:fldChar w:fldCharType="end"/>
    </w:r>
  </w:p>
  <w:p w14:paraId="5A9CDE08" w14:textId="77777777" w:rsidR="00E5610A" w:rsidRDefault="00E5610A" w:rsidP="003060F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6AFBB" w14:textId="77777777" w:rsidR="00512F16" w:rsidRDefault="00512F16" w:rsidP="00BA0388">
      <w:r>
        <w:separator/>
      </w:r>
    </w:p>
  </w:footnote>
  <w:footnote w:type="continuationSeparator" w:id="0">
    <w:p w14:paraId="043DA005" w14:textId="77777777" w:rsidR="00512F16" w:rsidRDefault="00512F16" w:rsidP="00BA0388">
      <w:r>
        <w:continuationSeparator/>
      </w:r>
    </w:p>
  </w:footnote>
  <w:footnote w:id="1">
    <w:p w14:paraId="5047161E" w14:textId="2BEA2B07" w:rsidR="00E5610A" w:rsidRPr="006629B7" w:rsidRDefault="00E5610A">
      <w:pPr>
        <w:pStyle w:val="Notedebasdepage"/>
        <w:rPr>
          <w:rFonts w:ascii="Arial" w:hAnsi="Arial" w:cs="Arial"/>
          <w:sz w:val="22"/>
          <w:szCs w:val="22"/>
          <w:lang w:val="en-CA"/>
        </w:rPr>
      </w:pPr>
      <w:r w:rsidRPr="004F5FCA">
        <w:rPr>
          <w:rStyle w:val="Appelnotedebasdep"/>
          <w:rFonts w:ascii="Arial" w:hAnsi="Arial" w:cs="Arial"/>
          <w:sz w:val="22"/>
          <w:szCs w:val="22"/>
        </w:rPr>
        <w:footnoteRef/>
      </w:r>
      <w:r w:rsidRPr="006629B7">
        <w:rPr>
          <w:rFonts w:ascii="Arial" w:hAnsi="Arial" w:cs="Arial"/>
          <w:sz w:val="22"/>
          <w:szCs w:val="22"/>
          <w:lang w:val="en-CA"/>
        </w:rPr>
        <w:t xml:space="preserve"> </w:t>
      </w:r>
      <w:r w:rsidR="00364FF2" w:rsidRPr="006629B7">
        <w:rPr>
          <w:rFonts w:ascii="Arial" w:eastAsia="Cambria" w:hAnsi="Arial" w:cs="Arial"/>
          <w:color w:val="000000"/>
          <w:sz w:val="22"/>
          <w:szCs w:val="22"/>
          <w:lang w:val="en-CA"/>
        </w:rPr>
        <w:t>C.J.</w:t>
      </w:r>
      <w:r w:rsidR="00F00DD9" w:rsidRPr="006629B7">
        <w:rPr>
          <w:rFonts w:ascii="Arial" w:eastAsia="Cambria" w:hAnsi="Arial" w:cs="Arial"/>
          <w:color w:val="000000"/>
          <w:sz w:val="22"/>
          <w:szCs w:val="22"/>
          <w:lang w:val="en-CA"/>
        </w:rPr>
        <w:t> </w:t>
      </w:r>
      <w:r w:rsidR="00364FF2" w:rsidRPr="006629B7">
        <w:rPr>
          <w:rFonts w:ascii="Arial" w:eastAsia="Cambria" w:hAnsi="Arial" w:cs="Arial"/>
          <w:color w:val="000000"/>
          <w:sz w:val="22"/>
          <w:szCs w:val="22"/>
          <w:lang w:val="en-CA"/>
        </w:rPr>
        <w:t>Redden</w:t>
      </w:r>
      <w:r w:rsidRPr="006629B7">
        <w:rPr>
          <w:rFonts w:ascii="Arial" w:eastAsia="Cambria" w:hAnsi="Arial" w:cs="Arial"/>
          <w:color w:val="000000"/>
          <w:sz w:val="22"/>
          <w:szCs w:val="22"/>
          <w:lang w:val="en-CA"/>
        </w:rPr>
        <w:t xml:space="preserve">, « Rationing Care in the Community: Engaging Citizens in Health Care Decision Making », </w:t>
      </w:r>
      <w:r w:rsidRPr="006629B7">
        <w:rPr>
          <w:rFonts w:ascii="Arial" w:eastAsia="Cambria" w:hAnsi="Arial" w:cs="Arial"/>
          <w:i/>
          <w:color w:val="000000"/>
          <w:sz w:val="22"/>
          <w:szCs w:val="22"/>
          <w:lang w:val="en-CA"/>
        </w:rPr>
        <w:t>Journal of Health Politics, Policy and Law</w:t>
      </w:r>
      <w:r w:rsidRPr="006629B7">
        <w:rPr>
          <w:rFonts w:ascii="Arial" w:eastAsia="Cambria" w:hAnsi="Arial" w:cs="Arial"/>
          <w:color w:val="000000"/>
          <w:sz w:val="22"/>
          <w:szCs w:val="22"/>
          <w:lang w:val="en-CA"/>
        </w:rPr>
        <w:t>, vol.</w:t>
      </w:r>
      <w:r w:rsidR="00F00DD9" w:rsidRPr="006629B7">
        <w:rPr>
          <w:rFonts w:ascii="Arial" w:eastAsia="Cambria" w:hAnsi="Arial" w:cs="Arial"/>
          <w:color w:val="000000"/>
          <w:sz w:val="22"/>
          <w:szCs w:val="22"/>
          <w:lang w:val="en-CA"/>
        </w:rPr>
        <w:t> </w:t>
      </w:r>
      <w:r w:rsidRPr="006629B7">
        <w:rPr>
          <w:rFonts w:ascii="Arial" w:eastAsia="Cambria" w:hAnsi="Arial" w:cs="Arial"/>
          <w:color w:val="000000"/>
          <w:sz w:val="22"/>
          <w:szCs w:val="22"/>
          <w:lang w:val="en-CA"/>
        </w:rPr>
        <w:t>24, n</w:t>
      </w:r>
      <w:r w:rsidRPr="006629B7">
        <w:rPr>
          <w:rFonts w:ascii="Arial" w:eastAsia="Cambria" w:hAnsi="Arial" w:cs="Arial"/>
          <w:color w:val="000000"/>
          <w:sz w:val="22"/>
          <w:szCs w:val="22"/>
          <w:vertAlign w:val="superscript"/>
          <w:lang w:val="en-CA"/>
        </w:rPr>
        <w:t>o</w:t>
      </w:r>
      <w:r w:rsidR="00F00DD9" w:rsidRPr="006629B7">
        <w:rPr>
          <w:rFonts w:ascii="Arial" w:eastAsia="Cambria" w:hAnsi="Arial" w:cs="Arial"/>
          <w:color w:val="000000"/>
          <w:sz w:val="22"/>
          <w:szCs w:val="22"/>
          <w:lang w:val="en-CA"/>
        </w:rPr>
        <w:t> </w:t>
      </w:r>
      <w:r w:rsidRPr="006629B7">
        <w:rPr>
          <w:rFonts w:ascii="Arial" w:eastAsia="Cambria" w:hAnsi="Arial" w:cs="Arial"/>
          <w:color w:val="000000"/>
          <w:sz w:val="22"/>
          <w:szCs w:val="22"/>
          <w:lang w:val="en-CA"/>
        </w:rPr>
        <w:t>6, p.</w:t>
      </w:r>
      <w:r w:rsidR="00F00DD9" w:rsidRPr="006629B7">
        <w:rPr>
          <w:rFonts w:ascii="Arial" w:eastAsia="Cambria" w:hAnsi="Arial" w:cs="Arial"/>
          <w:color w:val="000000"/>
          <w:sz w:val="22"/>
          <w:szCs w:val="22"/>
          <w:lang w:val="en-CA"/>
        </w:rPr>
        <w:t> </w:t>
      </w:r>
      <w:r w:rsidRPr="006629B7">
        <w:rPr>
          <w:rFonts w:ascii="Arial" w:eastAsia="Cambria" w:hAnsi="Arial" w:cs="Arial"/>
          <w:color w:val="000000"/>
          <w:sz w:val="22"/>
          <w:szCs w:val="22"/>
          <w:lang w:val="en-CA"/>
        </w:rPr>
        <w:t>1363-1389, 1999, doi:10.1215/03616878-24-6-1363.</w:t>
      </w:r>
    </w:p>
  </w:footnote>
  <w:footnote w:id="2">
    <w:p w14:paraId="0D82E3D4" w14:textId="72A83A60" w:rsidR="00E5610A" w:rsidRPr="004F5FCA" w:rsidRDefault="00E5610A">
      <w:pPr>
        <w:pStyle w:val="Notedebasdepage"/>
        <w:rPr>
          <w:rFonts w:ascii="Arial" w:hAnsi="Arial" w:cs="Arial"/>
          <w:sz w:val="22"/>
          <w:szCs w:val="22"/>
        </w:rPr>
      </w:pPr>
      <w:r w:rsidRPr="004F5FCA">
        <w:rPr>
          <w:rStyle w:val="Appelnotedebasdep"/>
          <w:rFonts w:ascii="Arial" w:hAnsi="Arial" w:cs="Arial"/>
          <w:sz w:val="22"/>
          <w:szCs w:val="22"/>
        </w:rPr>
        <w:footnoteRef/>
      </w:r>
      <w:r w:rsidRPr="004F5FCA">
        <w:rPr>
          <w:rFonts w:ascii="Arial" w:hAnsi="Arial" w:cs="Arial"/>
          <w:sz w:val="22"/>
          <w:szCs w:val="22"/>
        </w:rPr>
        <w:t xml:space="preserve"> Conseil consultatif sur la mise en œuvre d’un régime national d’assurance-médicament</w:t>
      </w:r>
      <w:r>
        <w:rPr>
          <w:rFonts w:ascii="Arial" w:hAnsi="Arial" w:cs="Arial"/>
          <w:sz w:val="22"/>
          <w:szCs w:val="22"/>
        </w:rPr>
        <w:t>s,</w:t>
      </w:r>
      <w:r w:rsidRPr="004F5FCA">
        <w:rPr>
          <w:rFonts w:ascii="Arial" w:hAnsi="Arial" w:cs="Arial"/>
          <w:sz w:val="22"/>
          <w:szCs w:val="22"/>
        </w:rPr>
        <w:t xml:space="preserve"> « Une ordonnance pour le Canada : l’as</w:t>
      </w:r>
      <w:r>
        <w:rPr>
          <w:rFonts w:ascii="Arial" w:hAnsi="Arial" w:cs="Arial"/>
          <w:sz w:val="22"/>
          <w:szCs w:val="22"/>
        </w:rPr>
        <w:t>surance-médicaments pour tous »,</w:t>
      </w:r>
      <w:r w:rsidRPr="004F5FCA">
        <w:rPr>
          <w:rFonts w:ascii="Arial" w:hAnsi="Arial" w:cs="Arial"/>
          <w:sz w:val="22"/>
          <w:szCs w:val="22"/>
        </w:rPr>
        <w:t xml:space="preserve"> Ottawa (Ontario)</w:t>
      </w:r>
      <w:r>
        <w:rPr>
          <w:rFonts w:ascii="Arial" w:hAnsi="Arial" w:cs="Arial"/>
          <w:sz w:val="22"/>
          <w:szCs w:val="22"/>
        </w:rPr>
        <w:t>,</w:t>
      </w:r>
      <w:r w:rsidRPr="004F5FCA">
        <w:rPr>
          <w:rFonts w:ascii="Arial" w:hAnsi="Arial" w:cs="Arial"/>
          <w:sz w:val="22"/>
          <w:szCs w:val="22"/>
        </w:rPr>
        <w:t xml:space="preserve"> Santé Canada</w:t>
      </w:r>
      <w:r>
        <w:rPr>
          <w:rFonts w:ascii="Arial" w:hAnsi="Arial" w:cs="Arial"/>
          <w:sz w:val="22"/>
          <w:szCs w:val="22"/>
        </w:rPr>
        <w:t>,</w:t>
      </w:r>
      <w:r w:rsidRPr="004F5FCA">
        <w:rPr>
          <w:rFonts w:ascii="Arial" w:hAnsi="Arial" w:cs="Arial"/>
          <w:sz w:val="22"/>
          <w:szCs w:val="22"/>
        </w:rPr>
        <w:t xml:space="preserve"> 2019</w:t>
      </w:r>
      <w:r>
        <w:rPr>
          <w:rFonts w:ascii="Arial" w:hAnsi="Arial" w:cs="Arial"/>
          <w:sz w:val="22"/>
          <w:szCs w:val="22"/>
        </w:rPr>
        <w:t>.</w:t>
      </w:r>
    </w:p>
  </w:footnote>
  <w:footnote w:id="3">
    <w:p w14:paraId="06BEA116" w14:textId="001864FC" w:rsidR="00E5610A" w:rsidRPr="006629B7" w:rsidRDefault="00E5610A">
      <w:pPr>
        <w:pStyle w:val="Notedebasdepage"/>
        <w:rPr>
          <w:rFonts w:ascii="Arial" w:hAnsi="Arial" w:cs="Arial"/>
          <w:sz w:val="22"/>
          <w:szCs w:val="22"/>
          <w:lang w:val="en-CA"/>
        </w:rPr>
      </w:pPr>
      <w:r w:rsidRPr="00EF0809">
        <w:rPr>
          <w:rStyle w:val="Appelnotedebasdep"/>
          <w:rFonts w:ascii="Arial" w:hAnsi="Arial" w:cs="Arial"/>
          <w:sz w:val="22"/>
          <w:szCs w:val="22"/>
        </w:rPr>
        <w:footnoteRef/>
      </w:r>
      <w:r w:rsidRPr="006629B7">
        <w:rPr>
          <w:rFonts w:ascii="Arial" w:hAnsi="Arial" w:cs="Arial"/>
          <w:sz w:val="22"/>
          <w:szCs w:val="22"/>
          <w:lang w:val="en-CA"/>
        </w:rPr>
        <w:t xml:space="preserve"> </w:t>
      </w:r>
      <w:r w:rsidR="00364FF2" w:rsidRPr="006629B7">
        <w:rPr>
          <w:rFonts w:ascii="Arial" w:eastAsia="Cambria" w:hAnsi="Arial" w:cs="Arial"/>
          <w:color w:val="000000"/>
          <w:sz w:val="22"/>
          <w:szCs w:val="22"/>
          <w:lang w:val="en-CA"/>
        </w:rPr>
        <w:t>E.E. Freeman, J.</w:t>
      </w:r>
      <w:r w:rsidR="00F00DD9" w:rsidRPr="006629B7">
        <w:rPr>
          <w:rFonts w:ascii="Arial" w:eastAsia="Cambria" w:hAnsi="Arial" w:cs="Arial"/>
          <w:color w:val="000000"/>
          <w:sz w:val="22"/>
          <w:szCs w:val="22"/>
          <w:lang w:val="en-CA"/>
        </w:rPr>
        <w:t> </w:t>
      </w:r>
      <w:r w:rsidR="00364FF2" w:rsidRPr="006629B7">
        <w:rPr>
          <w:rFonts w:ascii="Arial" w:eastAsia="Cambria" w:hAnsi="Arial" w:cs="Arial"/>
          <w:color w:val="000000"/>
          <w:sz w:val="22"/>
          <w:szCs w:val="22"/>
          <w:lang w:val="en-CA"/>
        </w:rPr>
        <w:t>Gresset, F.</w:t>
      </w:r>
      <w:r w:rsidR="00F00DD9" w:rsidRPr="006629B7">
        <w:rPr>
          <w:rFonts w:ascii="Arial" w:eastAsia="Cambria" w:hAnsi="Arial" w:cs="Arial"/>
          <w:color w:val="000000"/>
          <w:sz w:val="22"/>
          <w:szCs w:val="22"/>
          <w:lang w:val="en-CA"/>
        </w:rPr>
        <w:t> </w:t>
      </w:r>
      <w:r w:rsidR="00364FF2" w:rsidRPr="006629B7">
        <w:rPr>
          <w:rFonts w:ascii="Arial" w:eastAsia="Cambria" w:hAnsi="Arial" w:cs="Arial"/>
          <w:color w:val="000000"/>
          <w:sz w:val="22"/>
          <w:szCs w:val="22"/>
          <w:lang w:val="en-CA"/>
        </w:rPr>
        <w:t>Djafari</w:t>
      </w:r>
      <w:r w:rsidRPr="006629B7">
        <w:rPr>
          <w:rFonts w:ascii="Arial" w:eastAsia="Cambria" w:hAnsi="Arial" w:cs="Arial"/>
          <w:color w:val="000000"/>
          <w:sz w:val="22"/>
          <w:szCs w:val="22"/>
          <w:lang w:val="en-CA"/>
        </w:rPr>
        <w:t xml:space="preserve"> </w:t>
      </w:r>
      <w:r w:rsidRPr="006629B7">
        <w:rPr>
          <w:rFonts w:ascii="Arial" w:eastAsia="Cambria" w:hAnsi="Arial" w:cs="Arial"/>
          <w:i/>
          <w:color w:val="000000"/>
          <w:sz w:val="22"/>
          <w:szCs w:val="22"/>
          <w:lang w:val="en-CA"/>
        </w:rPr>
        <w:t>et al</w:t>
      </w:r>
      <w:r w:rsidRPr="006629B7">
        <w:rPr>
          <w:rFonts w:ascii="Arial" w:eastAsia="Cambria" w:hAnsi="Arial" w:cs="Arial"/>
          <w:color w:val="000000"/>
          <w:sz w:val="22"/>
          <w:szCs w:val="22"/>
          <w:lang w:val="en-CA"/>
        </w:rPr>
        <w:t xml:space="preserve">., « Cataract-Related Vision Loss and Depression in a Cohort of Patients Awaiting Cataract Surgery », </w:t>
      </w:r>
      <w:r w:rsidRPr="006629B7">
        <w:rPr>
          <w:rFonts w:ascii="Arial" w:eastAsia="Cambria" w:hAnsi="Arial" w:cs="Arial"/>
          <w:i/>
          <w:color w:val="000000"/>
          <w:sz w:val="22"/>
          <w:szCs w:val="22"/>
          <w:lang w:val="en-CA"/>
        </w:rPr>
        <w:t>Canadian Journal of Ophthalmology,</w:t>
      </w:r>
      <w:r w:rsidRPr="006629B7">
        <w:rPr>
          <w:rFonts w:ascii="Arial" w:eastAsia="Cambria" w:hAnsi="Arial" w:cs="Arial"/>
          <w:color w:val="000000"/>
          <w:sz w:val="22"/>
          <w:szCs w:val="22"/>
          <w:lang w:val="en-CA"/>
        </w:rPr>
        <w:t xml:space="preserve"> vol.</w:t>
      </w:r>
      <w:r w:rsidR="00F00DD9" w:rsidRPr="006629B7">
        <w:rPr>
          <w:rFonts w:ascii="Arial" w:eastAsia="Cambria" w:hAnsi="Arial" w:cs="Arial"/>
          <w:color w:val="000000"/>
          <w:sz w:val="22"/>
          <w:szCs w:val="22"/>
          <w:lang w:val="en-CA"/>
        </w:rPr>
        <w:t> </w:t>
      </w:r>
      <w:r w:rsidRPr="006629B7">
        <w:rPr>
          <w:rFonts w:ascii="Arial" w:eastAsia="Cambria" w:hAnsi="Arial" w:cs="Arial"/>
          <w:color w:val="000000"/>
          <w:sz w:val="22"/>
          <w:szCs w:val="22"/>
          <w:lang w:val="en-CA"/>
        </w:rPr>
        <w:t>44, n</w:t>
      </w:r>
      <w:r w:rsidRPr="006629B7">
        <w:rPr>
          <w:rFonts w:ascii="Arial" w:eastAsia="Cambria" w:hAnsi="Arial" w:cs="Arial"/>
          <w:color w:val="000000"/>
          <w:sz w:val="22"/>
          <w:szCs w:val="22"/>
          <w:vertAlign w:val="superscript"/>
          <w:lang w:val="en-CA"/>
        </w:rPr>
        <w:t>o</w:t>
      </w:r>
      <w:r w:rsidR="00F00DD9" w:rsidRPr="006629B7">
        <w:rPr>
          <w:rFonts w:ascii="Arial" w:eastAsia="Cambria" w:hAnsi="Arial" w:cs="Arial"/>
          <w:color w:val="000000"/>
          <w:sz w:val="22"/>
          <w:szCs w:val="22"/>
          <w:lang w:val="en-CA"/>
        </w:rPr>
        <w:t> </w:t>
      </w:r>
      <w:r w:rsidRPr="006629B7">
        <w:rPr>
          <w:rFonts w:ascii="Arial" w:eastAsia="Cambria" w:hAnsi="Arial" w:cs="Arial"/>
          <w:color w:val="000000"/>
          <w:sz w:val="22"/>
          <w:szCs w:val="22"/>
          <w:lang w:val="en-CA"/>
        </w:rPr>
        <w:t>2, p.</w:t>
      </w:r>
      <w:r w:rsidR="00F00DD9" w:rsidRPr="006629B7">
        <w:rPr>
          <w:rFonts w:ascii="Arial" w:eastAsia="Cambria" w:hAnsi="Arial" w:cs="Arial"/>
          <w:color w:val="000000"/>
          <w:sz w:val="22"/>
          <w:szCs w:val="22"/>
          <w:lang w:val="en-CA"/>
        </w:rPr>
        <w:t> </w:t>
      </w:r>
      <w:r w:rsidRPr="006629B7">
        <w:rPr>
          <w:rFonts w:ascii="Arial" w:eastAsia="Cambria" w:hAnsi="Arial" w:cs="Arial"/>
          <w:color w:val="000000"/>
          <w:sz w:val="22"/>
          <w:szCs w:val="22"/>
          <w:lang w:val="en-CA"/>
        </w:rPr>
        <w:t>171-176, 2009, doi:10.3129/i09-001</w:t>
      </w:r>
      <w:r w:rsidRPr="006629B7">
        <w:rPr>
          <w:rFonts w:ascii="Arial" w:eastAsia="Cambria" w:hAnsi="Arial" w:cs="Arial"/>
          <w:color w:val="000000"/>
          <w:lang w:val="en-CA"/>
        </w:rPr>
        <w:t>.</w:t>
      </w:r>
    </w:p>
  </w:footnote>
  <w:footnote w:id="4">
    <w:p w14:paraId="7E2F2528" w14:textId="255043C1" w:rsidR="00E5610A" w:rsidRPr="006629B7" w:rsidRDefault="00E5610A">
      <w:pPr>
        <w:pStyle w:val="Notedebasdepage"/>
        <w:rPr>
          <w:rFonts w:ascii="Arial" w:hAnsi="Arial" w:cs="Arial"/>
          <w:sz w:val="22"/>
          <w:szCs w:val="22"/>
          <w:lang w:val="en-CA"/>
        </w:rPr>
      </w:pPr>
      <w:r w:rsidRPr="00EF0809">
        <w:rPr>
          <w:rStyle w:val="Appelnotedebasdep"/>
          <w:rFonts w:ascii="Arial" w:hAnsi="Arial" w:cs="Arial"/>
          <w:sz w:val="22"/>
          <w:szCs w:val="22"/>
        </w:rPr>
        <w:footnoteRef/>
      </w:r>
      <w:r w:rsidRPr="006629B7">
        <w:rPr>
          <w:rFonts w:ascii="Arial" w:hAnsi="Arial" w:cs="Arial"/>
          <w:sz w:val="22"/>
          <w:szCs w:val="22"/>
          <w:lang w:val="en-CA"/>
        </w:rPr>
        <w:t xml:space="preserve"> </w:t>
      </w:r>
      <w:r w:rsidR="00364FF2" w:rsidRPr="00087C00">
        <w:rPr>
          <w:rFonts w:ascii="Arial" w:hAnsi="Arial" w:cs="Arial"/>
          <w:sz w:val="22"/>
          <w:szCs w:val="22"/>
          <w:lang w:val="en-US"/>
        </w:rPr>
        <w:t>Y.</w:t>
      </w:r>
      <w:r w:rsidR="00F00DD9" w:rsidRPr="006629B7">
        <w:rPr>
          <w:rFonts w:ascii="Arial" w:eastAsia="Cambria" w:hAnsi="Arial" w:cs="Arial"/>
          <w:color w:val="000000"/>
          <w:sz w:val="22"/>
          <w:szCs w:val="22"/>
          <w:lang w:val="en-CA"/>
        </w:rPr>
        <w:t> </w:t>
      </w:r>
      <w:r w:rsidRPr="00087C00">
        <w:rPr>
          <w:rFonts w:ascii="Arial" w:hAnsi="Arial" w:cs="Arial"/>
          <w:sz w:val="22"/>
          <w:szCs w:val="22"/>
          <w:lang w:val="en-US"/>
        </w:rPr>
        <w:t>J</w:t>
      </w:r>
      <w:r>
        <w:rPr>
          <w:rFonts w:ascii="Arial" w:hAnsi="Arial" w:cs="Arial"/>
          <w:sz w:val="22"/>
          <w:szCs w:val="22"/>
          <w:lang w:val="en-US"/>
        </w:rPr>
        <w:t>i</w:t>
      </w:r>
      <w:r w:rsidR="00364FF2">
        <w:rPr>
          <w:rFonts w:ascii="Arial" w:hAnsi="Arial" w:cs="Arial"/>
          <w:sz w:val="22"/>
          <w:szCs w:val="22"/>
          <w:lang w:val="en-US"/>
        </w:rPr>
        <w:t xml:space="preserve">n, </w:t>
      </w:r>
      <w:r w:rsidR="00364FF2" w:rsidRPr="00087C00">
        <w:rPr>
          <w:rFonts w:ascii="Arial" w:hAnsi="Arial" w:cs="Arial"/>
          <w:sz w:val="22"/>
          <w:szCs w:val="22"/>
          <w:lang w:val="en-US"/>
        </w:rPr>
        <w:t>Y.</w:t>
      </w:r>
      <w:r w:rsidR="00F00DD9" w:rsidRPr="006629B7">
        <w:rPr>
          <w:rFonts w:ascii="Arial" w:eastAsia="Cambria" w:hAnsi="Arial" w:cs="Arial"/>
          <w:color w:val="000000"/>
          <w:sz w:val="22"/>
          <w:szCs w:val="22"/>
          <w:lang w:val="en-CA"/>
        </w:rPr>
        <w:t> </w:t>
      </w:r>
      <w:r w:rsidR="00364FF2">
        <w:rPr>
          <w:rFonts w:ascii="Arial" w:hAnsi="Arial" w:cs="Arial"/>
          <w:sz w:val="22"/>
          <w:szCs w:val="22"/>
          <w:lang w:val="en-US"/>
        </w:rPr>
        <w:t xml:space="preserve">Buys, </w:t>
      </w:r>
      <w:r w:rsidR="00364FF2" w:rsidRPr="00087C00">
        <w:rPr>
          <w:rFonts w:ascii="Arial" w:hAnsi="Arial" w:cs="Arial"/>
          <w:sz w:val="22"/>
          <w:szCs w:val="22"/>
          <w:lang w:val="en-US"/>
        </w:rPr>
        <w:t>J.</w:t>
      </w:r>
      <w:r w:rsidR="00F00DD9" w:rsidRPr="006629B7">
        <w:rPr>
          <w:rFonts w:ascii="Arial" w:eastAsia="Cambria" w:hAnsi="Arial" w:cs="Arial"/>
          <w:color w:val="000000"/>
          <w:sz w:val="22"/>
          <w:szCs w:val="22"/>
          <w:lang w:val="en-CA"/>
        </w:rPr>
        <w:t> </w:t>
      </w:r>
      <w:r w:rsidR="00364FF2">
        <w:rPr>
          <w:rFonts w:ascii="Arial" w:hAnsi="Arial" w:cs="Arial"/>
          <w:sz w:val="22"/>
          <w:szCs w:val="22"/>
          <w:lang w:val="en-US"/>
        </w:rPr>
        <w:t>Xiong</w:t>
      </w:r>
      <w:r w:rsidRPr="00087C00">
        <w:rPr>
          <w:rFonts w:ascii="Arial" w:hAnsi="Arial" w:cs="Arial"/>
          <w:sz w:val="22"/>
          <w:szCs w:val="22"/>
          <w:lang w:val="en-US"/>
        </w:rPr>
        <w:t xml:space="preserve"> </w:t>
      </w:r>
      <w:r w:rsidRPr="00EF0809">
        <w:rPr>
          <w:rFonts w:ascii="Arial" w:hAnsi="Arial" w:cs="Arial"/>
          <w:i/>
          <w:sz w:val="22"/>
          <w:szCs w:val="22"/>
          <w:lang w:val="en-US"/>
        </w:rPr>
        <w:t>et al.</w:t>
      </w:r>
      <w:r w:rsidRPr="00D75F56">
        <w:rPr>
          <w:rFonts w:ascii="Arial" w:hAnsi="Arial" w:cs="Arial"/>
          <w:sz w:val="22"/>
          <w:szCs w:val="22"/>
          <w:lang w:val="en-US"/>
        </w:rPr>
        <w:t xml:space="preserve">, </w:t>
      </w:r>
      <w:r w:rsidRPr="006629B7">
        <w:rPr>
          <w:rFonts w:ascii="Arial" w:eastAsia="Cambria" w:hAnsi="Arial" w:cs="Arial"/>
          <w:color w:val="000000"/>
          <w:sz w:val="22"/>
          <w:szCs w:val="22"/>
          <w:lang w:val="en-CA"/>
        </w:rPr>
        <w:t>« </w:t>
      </w:r>
      <w:r>
        <w:rPr>
          <w:rFonts w:ascii="Arial" w:hAnsi="Arial" w:cs="Arial"/>
          <w:sz w:val="22"/>
          <w:szCs w:val="22"/>
          <w:lang w:val="en-US"/>
        </w:rPr>
        <w:t>Government-Insured Routine Eye Examinations and Prevalence of Nonrefractive Vision Problems among E</w:t>
      </w:r>
      <w:r w:rsidRPr="00087C00">
        <w:rPr>
          <w:rFonts w:ascii="Arial" w:hAnsi="Arial" w:cs="Arial"/>
          <w:sz w:val="22"/>
          <w:szCs w:val="22"/>
          <w:lang w:val="en-US"/>
        </w:rPr>
        <w:t>lderly</w:t>
      </w:r>
      <w:r w:rsidR="00F00DD9" w:rsidRPr="006629B7">
        <w:rPr>
          <w:rFonts w:ascii="Arial" w:eastAsia="Cambria" w:hAnsi="Arial" w:cs="Arial"/>
          <w:color w:val="000000"/>
          <w:sz w:val="22"/>
          <w:szCs w:val="22"/>
          <w:lang w:val="en-CA"/>
        </w:rPr>
        <w:t> </w:t>
      </w:r>
      <w:r w:rsidRPr="006629B7">
        <w:rPr>
          <w:rFonts w:ascii="Arial" w:eastAsia="Cambria" w:hAnsi="Arial" w:cs="Arial"/>
          <w:color w:val="000000"/>
          <w:sz w:val="22"/>
          <w:szCs w:val="22"/>
          <w:lang w:val="en-CA"/>
        </w:rPr>
        <w:t>»</w:t>
      </w:r>
      <w:r>
        <w:rPr>
          <w:rFonts w:ascii="Arial" w:hAnsi="Arial" w:cs="Arial"/>
          <w:sz w:val="22"/>
          <w:szCs w:val="22"/>
          <w:lang w:val="en-US"/>
        </w:rPr>
        <w:t>,</w:t>
      </w:r>
      <w:r w:rsidRPr="00087C00">
        <w:rPr>
          <w:rFonts w:ascii="Arial" w:hAnsi="Arial" w:cs="Arial"/>
          <w:sz w:val="22"/>
          <w:szCs w:val="22"/>
          <w:lang w:val="en-US"/>
        </w:rPr>
        <w:t xml:space="preserve"> </w:t>
      </w:r>
      <w:r w:rsidRPr="006629B7">
        <w:rPr>
          <w:rFonts w:ascii="Arial" w:eastAsia="Cambria" w:hAnsi="Arial" w:cs="Arial"/>
          <w:i/>
          <w:color w:val="000000"/>
          <w:sz w:val="22"/>
          <w:szCs w:val="22"/>
          <w:lang w:val="en-CA"/>
        </w:rPr>
        <w:t>Canadian Journal of Ophthalmology</w:t>
      </w:r>
      <w:r w:rsidRPr="006629B7">
        <w:rPr>
          <w:rFonts w:ascii="Arial" w:eastAsia="Cambria" w:hAnsi="Arial" w:cs="Arial"/>
          <w:color w:val="000000"/>
          <w:sz w:val="22"/>
          <w:szCs w:val="22"/>
          <w:lang w:val="en-CA"/>
        </w:rPr>
        <w:t>,</w:t>
      </w:r>
      <w:r w:rsidRPr="006629B7">
        <w:rPr>
          <w:rFonts w:ascii="Arial" w:eastAsia="Cambria" w:hAnsi="Arial" w:cs="Arial"/>
          <w:i/>
          <w:color w:val="000000"/>
          <w:sz w:val="22"/>
          <w:szCs w:val="22"/>
          <w:lang w:val="en-CA"/>
        </w:rPr>
        <w:t xml:space="preserve"> </w:t>
      </w:r>
      <w:r w:rsidRPr="006629B7">
        <w:rPr>
          <w:rFonts w:ascii="Arial" w:eastAsia="Cambria" w:hAnsi="Arial" w:cs="Arial"/>
          <w:color w:val="000000"/>
          <w:sz w:val="22"/>
          <w:szCs w:val="22"/>
          <w:lang w:val="en-CA"/>
        </w:rPr>
        <w:t>vol.</w:t>
      </w:r>
      <w:r w:rsidR="00F00DD9" w:rsidRPr="006629B7">
        <w:rPr>
          <w:rFonts w:ascii="Arial" w:eastAsia="Cambria" w:hAnsi="Arial" w:cs="Arial"/>
          <w:color w:val="000000"/>
          <w:sz w:val="22"/>
          <w:szCs w:val="22"/>
          <w:lang w:val="en-CA"/>
        </w:rPr>
        <w:t> </w:t>
      </w:r>
      <w:r>
        <w:rPr>
          <w:rFonts w:ascii="Arial" w:hAnsi="Arial" w:cs="Arial"/>
          <w:sz w:val="22"/>
          <w:szCs w:val="22"/>
          <w:lang w:val="en-US"/>
        </w:rPr>
        <w:t>48, n</w:t>
      </w:r>
      <w:r w:rsidRPr="007D4DD3">
        <w:rPr>
          <w:rFonts w:ascii="Arial" w:hAnsi="Arial" w:cs="Arial"/>
          <w:sz w:val="22"/>
          <w:szCs w:val="22"/>
          <w:vertAlign w:val="superscript"/>
          <w:lang w:val="en-US"/>
        </w:rPr>
        <w:t>o</w:t>
      </w:r>
      <w:r w:rsidR="00F00DD9" w:rsidRPr="006629B7">
        <w:rPr>
          <w:rFonts w:ascii="Arial" w:eastAsia="Cambria" w:hAnsi="Arial" w:cs="Arial"/>
          <w:color w:val="000000"/>
          <w:sz w:val="22"/>
          <w:szCs w:val="22"/>
          <w:lang w:val="en-CA"/>
        </w:rPr>
        <w:t> </w:t>
      </w:r>
      <w:r>
        <w:rPr>
          <w:rFonts w:ascii="Arial" w:hAnsi="Arial" w:cs="Arial"/>
          <w:sz w:val="22"/>
          <w:szCs w:val="22"/>
          <w:lang w:val="en-US"/>
        </w:rPr>
        <w:t>3</w:t>
      </w:r>
      <w:r w:rsidRPr="00087C00">
        <w:rPr>
          <w:rFonts w:ascii="Arial" w:hAnsi="Arial" w:cs="Arial"/>
          <w:sz w:val="22"/>
          <w:szCs w:val="22"/>
          <w:lang w:val="en-US"/>
        </w:rPr>
        <w:t xml:space="preserve">, </w:t>
      </w:r>
      <w:r>
        <w:rPr>
          <w:rFonts w:ascii="Arial" w:hAnsi="Arial" w:cs="Arial"/>
          <w:sz w:val="22"/>
          <w:szCs w:val="22"/>
          <w:lang w:val="en-US"/>
        </w:rPr>
        <w:t>p.</w:t>
      </w:r>
      <w:r w:rsidR="00F00DD9" w:rsidRPr="006629B7">
        <w:rPr>
          <w:rFonts w:ascii="Arial" w:eastAsia="Cambria" w:hAnsi="Arial" w:cs="Arial"/>
          <w:color w:val="000000"/>
          <w:sz w:val="22"/>
          <w:szCs w:val="22"/>
          <w:lang w:val="en-CA"/>
        </w:rPr>
        <w:t> </w:t>
      </w:r>
      <w:r>
        <w:rPr>
          <w:rFonts w:ascii="Arial" w:hAnsi="Arial" w:cs="Arial"/>
          <w:sz w:val="22"/>
          <w:szCs w:val="22"/>
          <w:lang w:val="en-US"/>
        </w:rPr>
        <w:t xml:space="preserve">167-172, </w:t>
      </w:r>
      <w:r w:rsidRPr="00087C00">
        <w:rPr>
          <w:rFonts w:ascii="Arial" w:hAnsi="Arial" w:cs="Arial"/>
          <w:sz w:val="22"/>
          <w:szCs w:val="22"/>
          <w:lang w:val="en-US"/>
        </w:rPr>
        <w:t>2013</w:t>
      </w:r>
      <w:r>
        <w:rPr>
          <w:rFonts w:ascii="Arial" w:hAnsi="Arial" w:cs="Arial"/>
          <w:sz w:val="22"/>
          <w:szCs w:val="22"/>
          <w:lang w:val="en-US"/>
        </w:rPr>
        <w:t>,</w:t>
      </w:r>
      <w:r w:rsidRPr="00087C00">
        <w:rPr>
          <w:rFonts w:ascii="Arial" w:hAnsi="Arial" w:cs="Arial"/>
          <w:sz w:val="22"/>
          <w:szCs w:val="22"/>
          <w:lang w:val="en-US"/>
        </w:rPr>
        <w:t xml:space="preserve"> doi:10.1016/j.jcjo.2013.01.002</w:t>
      </w:r>
      <w:r>
        <w:rPr>
          <w:rFonts w:ascii="Arial" w:hAnsi="Arial" w:cs="Arial"/>
          <w:sz w:val="22"/>
          <w:szCs w:val="22"/>
          <w:lang w:val="en-US"/>
        </w:rPr>
        <w:t>.</w:t>
      </w:r>
    </w:p>
  </w:footnote>
  <w:footnote w:id="5">
    <w:p w14:paraId="67C07E6E" w14:textId="62F68198" w:rsidR="00E5610A" w:rsidRPr="006629B7" w:rsidRDefault="00E5610A">
      <w:pPr>
        <w:pStyle w:val="Notedebasdepage"/>
        <w:rPr>
          <w:rFonts w:ascii="Arial" w:hAnsi="Arial" w:cs="Arial"/>
          <w:sz w:val="22"/>
          <w:szCs w:val="22"/>
          <w:lang w:val="en-CA"/>
        </w:rPr>
      </w:pPr>
      <w:r w:rsidRPr="00A41583">
        <w:rPr>
          <w:rStyle w:val="Appelnotedebasdep"/>
          <w:rFonts w:ascii="Arial" w:hAnsi="Arial" w:cs="Arial"/>
          <w:sz w:val="22"/>
          <w:szCs w:val="22"/>
        </w:rPr>
        <w:footnoteRef/>
      </w:r>
      <w:r w:rsidRPr="006629B7">
        <w:rPr>
          <w:rFonts w:ascii="Arial" w:hAnsi="Arial" w:cs="Arial"/>
          <w:sz w:val="22"/>
          <w:szCs w:val="22"/>
          <w:lang w:val="en-CA"/>
        </w:rPr>
        <w:t xml:space="preserve"> </w:t>
      </w:r>
      <w:r w:rsidRPr="00A41583">
        <w:rPr>
          <w:rFonts w:ascii="Arial" w:hAnsi="Arial" w:cs="Arial"/>
          <w:sz w:val="22"/>
          <w:szCs w:val="22"/>
          <w:lang w:val="en-US"/>
        </w:rPr>
        <w:t>T.</w:t>
      </w:r>
      <w:r w:rsidR="00F00DD9" w:rsidRPr="006629B7">
        <w:rPr>
          <w:rFonts w:ascii="Arial" w:eastAsia="Cambria" w:hAnsi="Arial" w:cs="Arial"/>
          <w:color w:val="000000"/>
          <w:sz w:val="22"/>
          <w:szCs w:val="22"/>
          <w:lang w:val="en-CA"/>
        </w:rPr>
        <w:t> </w:t>
      </w:r>
      <w:r>
        <w:rPr>
          <w:rFonts w:ascii="Arial" w:hAnsi="Arial" w:cs="Arial"/>
          <w:sz w:val="22"/>
          <w:szCs w:val="22"/>
          <w:lang w:val="en-US"/>
        </w:rPr>
        <w:t xml:space="preserve">Kiran, </w:t>
      </w:r>
      <w:r w:rsidRPr="00A41583">
        <w:rPr>
          <w:rFonts w:ascii="Arial" w:hAnsi="Arial" w:cs="Arial"/>
          <w:sz w:val="22"/>
          <w:szCs w:val="22"/>
          <w:lang w:val="en-US"/>
        </w:rPr>
        <w:t>A.</w:t>
      </w:r>
      <w:r w:rsidR="00F00DD9" w:rsidRPr="006629B7">
        <w:rPr>
          <w:rFonts w:ascii="Arial" w:eastAsia="Cambria" w:hAnsi="Arial" w:cs="Arial"/>
          <w:color w:val="000000"/>
          <w:sz w:val="22"/>
          <w:szCs w:val="22"/>
          <w:lang w:val="en-CA"/>
        </w:rPr>
        <w:t> </w:t>
      </w:r>
      <w:r>
        <w:rPr>
          <w:rFonts w:ascii="Arial" w:hAnsi="Arial" w:cs="Arial"/>
          <w:sz w:val="22"/>
          <w:szCs w:val="22"/>
          <w:lang w:val="en-US"/>
        </w:rPr>
        <w:t xml:space="preserve">Koop, </w:t>
      </w:r>
      <w:r w:rsidRPr="00A41583">
        <w:rPr>
          <w:rFonts w:ascii="Arial" w:hAnsi="Arial" w:cs="Arial"/>
          <w:sz w:val="22"/>
          <w:szCs w:val="22"/>
          <w:lang w:val="en-US"/>
        </w:rPr>
        <w:t>R.</w:t>
      </w:r>
      <w:r w:rsidR="00F00DD9" w:rsidRPr="006629B7">
        <w:rPr>
          <w:rFonts w:ascii="Arial" w:eastAsia="Cambria" w:hAnsi="Arial" w:cs="Arial"/>
          <w:color w:val="000000"/>
          <w:sz w:val="22"/>
          <w:szCs w:val="22"/>
          <w:lang w:val="en-CA"/>
        </w:rPr>
        <w:t> </w:t>
      </w:r>
      <w:r>
        <w:rPr>
          <w:rFonts w:ascii="Arial" w:hAnsi="Arial" w:cs="Arial"/>
          <w:sz w:val="22"/>
          <w:szCs w:val="22"/>
          <w:lang w:val="en-US"/>
        </w:rPr>
        <w:t>Moineddin</w:t>
      </w:r>
      <w:r w:rsidRPr="00A41583">
        <w:rPr>
          <w:rFonts w:ascii="Arial" w:hAnsi="Arial" w:cs="Arial"/>
          <w:sz w:val="22"/>
          <w:szCs w:val="22"/>
          <w:lang w:val="en-US"/>
        </w:rPr>
        <w:t xml:space="preserve"> </w:t>
      </w:r>
      <w:r w:rsidRPr="00A41583">
        <w:rPr>
          <w:rFonts w:ascii="Arial" w:hAnsi="Arial" w:cs="Arial"/>
          <w:i/>
          <w:sz w:val="22"/>
          <w:szCs w:val="22"/>
          <w:lang w:val="en-US"/>
        </w:rPr>
        <w:t>et al</w:t>
      </w:r>
      <w:r w:rsidRPr="00A41583">
        <w:rPr>
          <w:rFonts w:ascii="Arial" w:hAnsi="Arial" w:cs="Arial"/>
          <w:sz w:val="22"/>
          <w:szCs w:val="22"/>
          <w:lang w:val="en-US"/>
        </w:rPr>
        <w:t>.</w:t>
      </w:r>
      <w:r>
        <w:rPr>
          <w:rFonts w:ascii="Arial" w:hAnsi="Arial" w:cs="Arial"/>
          <w:sz w:val="22"/>
          <w:szCs w:val="22"/>
          <w:lang w:val="en-US"/>
        </w:rPr>
        <w:t>,</w:t>
      </w:r>
      <w:r w:rsidRPr="00A41583">
        <w:rPr>
          <w:rFonts w:ascii="Arial" w:hAnsi="Arial" w:cs="Arial"/>
          <w:sz w:val="22"/>
          <w:szCs w:val="22"/>
          <w:lang w:val="en-US"/>
        </w:rPr>
        <w:t xml:space="preserve"> </w:t>
      </w:r>
      <w:r w:rsidRPr="006629B7">
        <w:rPr>
          <w:rFonts w:ascii="Arial" w:eastAsia="Cambria" w:hAnsi="Arial" w:cs="Arial"/>
          <w:color w:val="000000"/>
          <w:sz w:val="22"/>
          <w:szCs w:val="22"/>
          <w:lang w:val="en-CA"/>
        </w:rPr>
        <w:t>« </w:t>
      </w:r>
      <w:r>
        <w:rPr>
          <w:rFonts w:ascii="Arial" w:hAnsi="Arial" w:cs="Arial"/>
          <w:sz w:val="22"/>
          <w:szCs w:val="22"/>
          <w:lang w:val="en-US"/>
        </w:rPr>
        <w:t>Unintended Consequences of Delisting Routine Eye Exams on Retinopathy Screening for People with D</w:t>
      </w:r>
      <w:r w:rsidRPr="00A41583">
        <w:rPr>
          <w:rFonts w:ascii="Arial" w:hAnsi="Arial" w:cs="Arial"/>
          <w:sz w:val="22"/>
          <w:szCs w:val="22"/>
          <w:lang w:val="en-US"/>
        </w:rPr>
        <w:t>iabetes in Ontario, Canada</w:t>
      </w:r>
      <w:r w:rsidRPr="006629B7">
        <w:rPr>
          <w:rFonts w:ascii="Arial" w:eastAsia="Cambria" w:hAnsi="Arial" w:cs="Arial"/>
          <w:color w:val="000000"/>
          <w:sz w:val="22"/>
          <w:szCs w:val="22"/>
          <w:lang w:val="en-CA"/>
        </w:rPr>
        <w:t> »</w:t>
      </w:r>
      <w:r>
        <w:rPr>
          <w:rFonts w:ascii="Arial" w:hAnsi="Arial" w:cs="Arial"/>
          <w:sz w:val="22"/>
          <w:szCs w:val="22"/>
          <w:lang w:val="en-US"/>
        </w:rPr>
        <w:t>,</w:t>
      </w:r>
      <w:r w:rsidRPr="00A41583">
        <w:rPr>
          <w:rFonts w:ascii="Arial" w:hAnsi="Arial" w:cs="Arial"/>
          <w:sz w:val="22"/>
          <w:szCs w:val="22"/>
          <w:lang w:val="en-US"/>
        </w:rPr>
        <w:t xml:space="preserve"> </w:t>
      </w:r>
      <w:r w:rsidRPr="006629B7">
        <w:rPr>
          <w:rFonts w:ascii="Arial" w:eastAsia="Cambria" w:hAnsi="Arial" w:cs="Arial"/>
          <w:i/>
          <w:color w:val="000000"/>
          <w:sz w:val="22"/>
          <w:szCs w:val="22"/>
          <w:lang w:val="en-CA"/>
        </w:rPr>
        <w:t>Canadian Journal of Ophthalmology</w:t>
      </w:r>
      <w:r>
        <w:rPr>
          <w:rFonts w:ascii="Arial" w:hAnsi="Arial" w:cs="Arial"/>
          <w:sz w:val="22"/>
          <w:szCs w:val="22"/>
          <w:lang w:val="en-US"/>
        </w:rPr>
        <w:t>, vol.</w:t>
      </w:r>
      <w:r w:rsidR="00F00DD9" w:rsidRPr="006629B7">
        <w:rPr>
          <w:rFonts w:ascii="Arial" w:eastAsia="Cambria" w:hAnsi="Arial" w:cs="Arial"/>
          <w:color w:val="000000"/>
          <w:sz w:val="22"/>
          <w:szCs w:val="22"/>
          <w:lang w:val="en-CA"/>
        </w:rPr>
        <w:t> </w:t>
      </w:r>
      <w:r>
        <w:rPr>
          <w:rFonts w:ascii="Arial" w:hAnsi="Arial" w:cs="Arial"/>
          <w:sz w:val="22"/>
          <w:szCs w:val="22"/>
          <w:lang w:val="en-US"/>
        </w:rPr>
        <w:t>185, n</w:t>
      </w:r>
      <w:r w:rsidRPr="008575C4">
        <w:rPr>
          <w:rFonts w:ascii="Arial" w:hAnsi="Arial" w:cs="Arial"/>
          <w:sz w:val="22"/>
          <w:szCs w:val="22"/>
          <w:vertAlign w:val="superscript"/>
          <w:lang w:val="en-US"/>
        </w:rPr>
        <w:t>o</w:t>
      </w:r>
      <w:r w:rsidR="00F00DD9" w:rsidRPr="006629B7">
        <w:rPr>
          <w:rFonts w:ascii="Arial" w:eastAsia="Cambria" w:hAnsi="Arial" w:cs="Arial"/>
          <w:color w:val="000000"/>
          <w:sz w:val="22"/>
          <w:szCs w:val="22"/>
          <w:lang w:val="en-CA"/>
        </w:rPr>
        <w:t> </w:t>
      </w:r>
      <w:r>
        <w:rPr>
          <w:rFonts w:ascii="Arial" w:hAnsi="Arial" w:cs="Arial"/>
          <w:sz w:val="22"/>
          <w:szCs w:val="22"/>
          <w:lang w:val="en-US"/>
        </w:rPr>
        <w:t>3, p.</w:t>
      </w:r>
      <w:r w:rsidR="00F00DD9" w:rsidRPr="006629B7">
        <w:rPr>
          <w:rFonts w:ascii="Arial" w:eastAsia="Cambria" w:hAnsi="Arial" w:cs="Arial"/>
          <w:color w:val="000000"/>
          <w:sz w:val="22"/>
          <w:szCs w:val="22"/>
          <w:lang w:val="en-CA"/>
        </w:rPr>
        <w:t> </w:t>
      </w:r>
      <w:r>
        <w:rPr>
          <w:rFonts w:ascii="Arial" w:hAnsi="Arial" w:cs="Arial"/>
          <w:sz w:val="22"/>
          <w:szCs w:val="22"/>
          <w:lang w:val="en-US"/>
        </w:rPr>
        <w:t>167-173, 2013,</w:t>
      </w:r>
      <w:r w:rsidRPr="00A41583">
        <w:rPr>
          <w:rFonts w:ascii="Arial" w:hAnsi="Arial" w:cs="Arial"/>
          <w:sz w:val="22"/>
          <w:szCs w:val="22"/>
          <w:lang w:val="en-US"/>
        </w:rPr>
        <w:t xml:space="preserve"> doi.org/10.1503/cmaj.120862</w:t>
      </w:r>
      <w:r>
        <w:rPr>
          <w:rFonts w:ascii="Arial" w:hAnsi="Arial" w:cs="Arial"/>
          <w:sz w:val="22"/>
          <w:szCs w:val="22"/>
          <w:lang w:val="en-US"/>
        </w:rPr>
        <w:t>.</w:t>
      </w:r>
    </w:p>
  </w:footnote>
  <w:footnote w:id="6">
    <w:p w14:paraId="25DC6310" w14:textId="427B6F86" w:rsidR="00E5610A" w:rsidRPr="00A41583" w:rsidRDefault="00E5610A" w:rsidP="00A41583">
      <w:pPr>
        <w:pStyle w:val="Notedebasdepage"/>
        <w:rPr>
          <w:rFonts w:ascii="Arial" w:hAnsi="Arial" w:cs="Arial"/>
          <w:sz w:val="22"/>
          <w:szCs w:val="22"/>
          <w:lang w:val="en-US"/>
        </w:rPr>
      </w:pPr>
      <w:r w:rsidRPr="00A41583">
        <w:rPr>
          <w:rStyle w:val="Appelnotedebasdep"/>
          <w:rFonts w:ascii="Arial" w:hAnsi="Arial" w:cs="Arial"/>
          <w:sz w:val="22"/>
          <w:szCs w:val="22"/>
        </w:rPr>
        <w:footnoteRef/>
      </w:r>
      <w:r w:rsidRPr="006629B7">
        <w:rPr>
          <w:rFonts w:ascii="Arial" w:hAnsi="Arial" w:cs="Arial"/>
          <w:sz w:val="22"/>
          <w:szCs w:val="22"/>
          <w:lang w:val="en-CA"/>
        </w:rPr>
        <w:t xml:space="preserve">  </w:t>
      </w:r>
      <w:r w:rsidRPr="00A41583">
        <w:rPr>
          <w:rFonts w:ascii="Arial" w:hAnsi="Arial" w:cs="Arial"/>
          <w:sz w:val="22"/>
          <w:szCs w:val="22"/>
          <w:lang w:val="en-US"/>
        </w:rPr>
        <w:t>D.M.</w:t>
      </w:r>
      <w:r w:rsidR="00F00DD9" w:rsidRPr="006629B7">
        <w:rPr>
          <w:rFonts w:ascii="Arial" w:eastAsia="Cambria" w:hAnsi="Arial" w:cs="Arial"/>
          <w:color w:val="000000"/>
          <w:sz w:val="22"/>
          <w:szCs w:val="22"/>
          <w:lang w:val="en-CA"/>
        </w:rPr>
        <w:t> </w:t>
      </w:r>
      <w:r>
        <w:rPr>
          <w:rFonts w:ascii="Arial" w:hAnsi="Arial" w:cs="Arial"/>
          <w:sz w:val="22"/>
          <w:szCs w:val="22"/>
          <w:lang w:val="en-US"/>
        </w:rPr>
        <w:t xml:space="preserve">Berwick, </w:t>
      </w:r>
      <w:r w:rsidRPr="00A41583">
        <w:rPr>
          <w:rFonts w:ascii="Arial" w:hAnsi="Arial" w:cs="Arial"/>
          <w:sz w:val="22"/>
          <w:szCs w:val="22"/>
          <w:lang w:val="en-US"/>
        </w:rPr>
        <w:t>A.D.</w:t>
      </w:r>
      <w:r w:rsidR="00F00DD9" w:rsidRPr="006629B7">
        <w:rPr>
          <w:rFonts w:ascii="Arial" w:eastAsia="Cambria" w:hAnsi="Arial" w:cs="Arial"/>
          <w:color w:val="000000"/>
          <w:sz w:val="22"/>
          <w:szCs w:val="22"/>
          <w:lang w:val="en-CA"/>
        </w:rPr>
        <w:t> </w:t>
      </w:r>
      <w:r>
        <w:rPr>
          <w:rFonts w:ascii="Arial" w:hAnsi="Arial" w:cs="Arial"/>
          <w:sz w:val="22"/>
          <w:szCs w:val="22"/>
          <w:lang w:val="en-US"/>
        </w:rPr>
        <w:t>Hackbarth,</w:t>
      </w:r>
      <w:r w:rsidRPr="00A41583">
        <w:rPr>
          <w:rFonts w:ascii="Arial" w:hAnsi="Arial" w:cs="Arial"/>
          <w:sz w:val="22"/>
          <w:szCs w:val="22"/>
          <w:lang w:val="en-US"/>
        </w:rPr>
        <w:t xml:space="preserve"> </w:t>
      </w:r>
      <w:r w:rsidRPr="006629B7">
        <w:rPr>
          <w:rFonts w:ascii="Arial" w:eastAsia="Cambria" w:hAnsi="Arial" w:cs="Arial"/>
          <w:color w:val="000000"/>
          <w:sz w:val="22"/>
          <w:szCs w:val="22"/>
          <w:lang w:val="en-CA"/>
        </w:rPr>
        <w:t>« </w:t>
      </w:r>
      <w:r>
        <w:rPr>
          <w:rFonts w:ascii="Arial" w:hAnsi="Arial" w:cs="Arial"/>
          <w:sz w:val="22"/>
          <w:szCs w:val="22"/>
          <w:lang w:val="en-US"/>
        </w:rPr>
        <w:t>Eliminating Waste in US Health Care</w:t>
      </w:r>
      <w:r w:rsidRPr="006629B7">
        <w:rPr>
          <w:rFonts w:ascii="Arial" w:eastAsia="Cambria" w:hAnsi="Arial" w:cs="Arial"/>
          <w:color w:val="000000"/>
          <w:sz w:val="22"/>
          <w:szCs w:val="22"/>
          <w:lang w:val="en-CA"/>
        </w:rPr>
        <w:t> »</w:t>
      </w:r>
      <w:r>
        <w:rPr>
          <w:rFonts w:ascii="Arial" w:hAnsi="Arial" w:cs="Arial"/>
          <w:sz w:val="22"/>
          <w:szCs w:val="22"/>
          <w:lang w:val="en-US"/>
        </w:rPr>
        <w:t>,</w:t>
      </w:r>
      <w:r w:rsidRPr="00A41583">
        <w:rPr>
          <w:rFonts w:ascii="Arial" w:hAnsi="Arial" w:cs="Arial"/>
          <w:sz w:val="22"/>
          <w:szCs w:val="22"/>
          <w:lang w:val="en-US"/>
        </w:rPr>
        <w:t xml:space="preserve"> </w:t>
      </w:r>
      <w:r>
        <w:rPr>
          <w:rFonts w:ascii="Arial" w:hAnsi="Arial" w:cs="Arial"/>
          <w:i/>
          <w:sz w:val="22"/>
          <w:szCs w:val="22"/>
          <w:lang w:val="en-US"/>
        </w:rPr>
        <w:t>Journal of the American Medical Association</w:t>
      </w:r>
      <w:r w:rsidRPr="004B50FE">
        <w:rPr>
          <w:rFonts w:ascii="Arial" w:hAnsi="Arial" w:cs="Arial"/>
          <w:sz w:val="22"/>
          <w:szCs w:val="22"/>
          <w:lang w:val="en-US"/>
        </w:rPr>
        <w:t xml:space="preserve">, </w:t>
      </w:r>
      <w:r>
        <w:rPr>
          <w:rFonts w:ascii="Arial" w:hAnsi="Arial" w:cs="Arial"/>
          <w:sz w:val="22"/>
          <w:szCs w:val="22"/>
          <w:lang w:val="en-US"/>
        </w:rPr>
        <w:t>vol.</w:t>
      </w:r>
      <w:r w:rsidR="00F00DD9" w:rsidRPr="006629B7">
        <w:rPr>
          <w:rFonts w:ascii="Arial" w:eastAsia="Cambria" w:hAnsi="Arial" w:cs="Arial"/>
          <w:color w:val="000000"/>
          <w:sz w:val="22"/>
          <w:szCs w:val="22"/>
          <w:lang w:val="en-CA"/>
        </w:rPr>
        <w:t> </w:t>
      </w:r>
      <w:r>
        <w:rPr>
          <w:rFonts w:ascii="Arial" w:hAnsi="Arial" w:cs="Arial"/>
          <w:sz w:val="22"/>
          <w:szCs w:val="22"/>
          <w:lang w:val="en-US"/>
        </w:rPr>
        <w:t>307, n</w:t>
      </w:r>
      <w:r w:rsidRPr="004B50FE">
        <w:rPr>
          <w:rFonts w:ascii="Arial" w:hAnsi="Arial" w:cs="Arial"/>
          <w:sz w:val="22"/>
          <w:szCs w:val="22"/>
          <w:vertAlign w:val="superscript"/>
          <w:lang w:val="en-US"/>
        </w:rPr>
        <w:t>o</w:t>
      </w:r>
      <w:r w:rsidR="00F00DD9" w:rsidRPr="006629B7">
        <w:rPr>
          <w:rFonts w:ascii="Arial" w:eastAsia="Cambria" w:hAnsi="Arial" w:cs="Arial"/>
          <w:color w:val="000000"/>
          <w:sz w:val="22"/>
          <w:szCs w:val="22"/>
          <w:lang w:val="en-CA"/>
        </w:rPr>
        <w:t> </w:t>
      </w:r>
      <w:r>
        <w:rPr>
          <w:rFonts w:ascii="Arial" w:hAnsi="Arial" w:cs="Arial"/>
          <w:sz w:val="22"/>
          <w:szCs w:val="22"/>
          <w:lang w:val="en-US"/>
        </w:rPr>
        <w:t>14</w:t>
      </w:r>
      <w:r w:rsidRPr="00A41583">
        <w:rPr>
          <w:rFonts w:ascii="Arial" w:hAnsi="Arial" w:cs="Arial"/>
          <w:sz w:val="22"/>
          <w:szCs w:val="22"/>
          <w:lang w:val="en-US"/>
        </w:rPr>
        <w:t xml:space="preserve">, </w:t>
      </w:r>
      <w:r>
        <w:rPr>
          <w:rFonts w:ascii="Arial" w:hAnsi="Arial" w:cs="Arial"/>
          <w:sz w:val="22"/>
          <w:szCs w:val="22"/>
          <w:lang w:val="en-US"/>
        </w:rPr>
        <w:t>p.</w:t>
      </w:r>
      <w:r w:rsidR="00F00DD9" w:rsidRPr="006629B7">
        <w:rPr>
          <w:rFonts w:ascii="Arial" w:eastAsia="Cambria" w:hAnsi="Arial" w:cs="Arial"/>
          <w:color w:val="000000"/>
          <w:sz w:val="22"/>
          <w:szCs w:val="22"/>
          <w:lang w:val="en-CA"/>
        </w:rPr>
        <w:t> </w:t>
      </w:r>
      <w:r>
        <w:rPr>
          <w:rFonts w:ascii="Arial" w:hAnsi="Arial" w:cs="Arial"/>
          <w:sz w:val="22"/>
          <w:szCs w:val="22"/>
          <w:lang w:val="en-US"/>
        </w:rPr>
        <w:t xml:space="preserve">1513-1516, 2012, </w:t>
      </w:r>
      <w:r w:rsidRPr="00A41583">
        <w:rPr>
          <w:rFonts w:ascii="Arial" w:hAnsi="Arial" w:cs="Arial"/>
          <w:sz w:val="22"/>
          <w:szCs w:val="22"/>
          <w:lang w:val="en-US"/>
        </w:rPr>
        <w:t>doi:10.1001/jama.2012.362</w:t>
      </w:r>
      <w:r>
        <w:rPr>
          <w:rFonts w:ascii="Arial" w:hAnsi="Arial" w:cs="Arial"/>
          <w:sz w:val="22"/>
          <w:szCs w:val="22"/>
          <w:lang w:val="en-US"/>
        </w:rPr>
        <w:t>.</w:t>
      </w:r>
    </w:p>
    <w:p w14:paraId="2B74DDF9" w14:textId="368F5CF0" w:rsidR="00E5610A" w:rsidRPr="006629B7" w:rsidRDefault="00E5610A">
      <w:pPr>
        <w:pStyle w:val="Notedebasdepage"/>
        <w:rPr>
          <w:lang w:val="en-CA"/>
        </w:rPr>
      </w:pPr>
    </w:p>
  </w:footnote>
  <w:footnote w:id="7">
    <w:p w14:paraId="156689AD" w14:textId="6E84906C" w:rsidR="00E5610A" w:rsidRPr="006629B7" w:rsidRDefault="00E5610A" w:rsidP="00A41583">
      <w:pPr>
        <w:rPr>
          <w:rFonts w:ascii="Arial" w:eastAsia="Times New Roman" w:hAnsi="Arial" w:cs="Arial"/>
          <w:sz w:val="22"/>
          <w:szCs w:val="22"/>
          <w:lang w:val="en-CA"/>
        </w:rPr>
      </w:pPr>
      <w:r w:rsidRPr="00A41583">
        <w:rPr>
          <w:rStyle w:val="Appelnotedebasdep"/>
          <w:rFonts w:ascii="Arial" w:hAnsi="Arial" w:cs="Arial"/>
          <w:sz w:val="22"/>
          <w:szCs w:val="22"/>
        </w:rPr>
        <w:footnoteRef/>
      </w:r>
      <w:r w:rsidRPr="006629B7">
        <w:rPr>
          <w:rFonts w:ascii="Arial" w:hAnsi="Arial" w:cs="Arial"/>
          <w:sz w:val="22"/>
          <w:szCs w:val="22"/>
          <w:lang w:val="en-CA"/>
        </w:rPr>
        <w:t xml:space="preserve"> </w:t>
      </w:r>
      <w:r w:rsidRPr="006629B7">
        <w:rPr>
          <w:rFonts w:ascii="Arial" w:eastAsia="Times New Roman" w:hAnsi="Arial" w:cs="Arial"/>
          <w:sz w:val="22"/>
          <w:szCs w:val="22"/>
          <w:lang w:val="en-CA"/>
        </w:rPr>
        <w:t>https://pm.gc.ca/fr/lettres-de-mandat/lettre-de-mandat-de-la-ministre-de-la-sante</w:t>
      </w:r>
    </w:p>
    <w:p w14:paraId="7915BC82" w14:textId="2784B5AE" w:rsidR="00E5610A" w:rsidRPr="006629B7" w:rsidRDefault="00E5610A">
      <w:pPr>
        <w:pStyle w:val="Notedebasdepage"/>
        <w:rPr>
          <w:lang w:val="en-CA"/>
        </w:rPr>
      </w:pPr>
    </w:p>
  </w:footnote>
  <w:footnote w:id="8">
    <w:p w14:paraId="2E1C5FCC" w14:textId="1BEDA9ED" w:rsidR="00E5610A" w:rsidRPr="006629B7" w:rsidRDefault="00E5610A">
      <w:pPr>
        <w:pStyle w:val="Notedebasdepage"/>
        <w:rPr>
          <w:rFonts w:ascii="Arial" w:hAnsi="Arial" w:cs="Arial"/>
          <w:sz w:val="22"/>
          <w:szCs w:val="22"/>
          <w:lang w:val="en-CA"/>
        </w:rPr>
      </w:pPr>
      <w:r w:rsidRPr="00235ECD">
        <w:rPr>
          <w:rStyle w:val="Appelnotedebasdep"/>
          <w:rFonts w:ascii="Arial" w:hAnsi="Arial" w:cs="Arial"/>
          <w:sz w:val="22"/>
          <w:szCs w:val="22"/>
        </w:rPr>
        <w:footnoteRef/>
      </w:r>
      <w:r w:rsidRPr="006629B7">
        <w:rPr>
          <w:rFonts w:ascii="Arial" w:hAnsi="Arial" w:cs="Arial"/>
          <w:sz w:val="22"/>
          <w:szCs w:val="22"/>
          <w:lang w:val="en-CA"/>
        </w:rPr>
        <w:t xml:space="preserve"> </w:t>
      </w:r>
      <w:r w:rsidR="00F00DD9" w:rsidRPr="006629B7">
        <w:rPr>
          <w:rFonts w:ascii="Arial" w:hAnsi="Arial" w:cs="Arial"/>
          <w:sz w:val="22"/>
          <w:szCs w:val="22"/>
          <w:lang w:val="en-CA"/>
        </w:rPr>
        <w:t>L.</w:t>
      </w:r>
      <w:r w:rsidR="00F00DD9" w:rsidRPr="006629B7">
        <w:rPr>
          <w:rFonts w:ascii="Arial" w:eastAsia="Cambria" w:hAnsi="Arial" w:cs="Arial"/>
          <w:color w:val="000000"/>
          <w:sz w:val="22"/>
          <w:szCs w:val="22"/>
          <w:lang w:val="en-CA"/>
        </w:rPr>
        <w:t> </w:t>
      </w:r>
      <w:r>
        <w:rPr>
          <w:rFonts w:ascii="Arial" w:hAnsi="Arial" w:cs="Arial"/>
          <w:sz w:val="22"/>
          <w:szCs w:val="22"/>
          <w:lang w:val="en-US"/>
        </w:rPr>
        <w:t xml:space="preserve">Vogel, </w:t>
      </w:r>
      <w:r w:rsidRPr="006629B7">
        <w:rPr>
          <w:rFonts w:ascii="Arial" w:eastAsia="Cambria" w:hAnsi="Arial" w:cs="Arial"/>
          <w:color w:val="000000"/>
          <w:sz w:val="22"/>
          <w:szCs w:val="22"/>
          <w:lang w:val="en-CA"/>
        </w:rPr>
        <w:t>« </w:t>
      </w:r>
      <w:r>
        <w:rPr>
          <w:rFonts w:ascii="Arial" w:hAnsi="Arial" w:cs="Arial"/>
          <w:sz w:val="22"/>
          <w:szCs w:val="22"/>
          <w:lang w:val="en-US"/>
        </w:rPr>
        <w:t>Drug P</w:t>
      </w:r>
      <w:r w:rsidRPr="00235ECD">
        <w:rPr>
          <w:rFonts w:ascii="Arial" w:hAnsi="Arial" w:cs="Arial"/>
          <w:sz w:val="22"/>
          <w:szCs w:val="22"/>
          <w:lang w:val="en-US"/>
        </w:rPr>
        <w:t xml:space="preserve">ricing </w:t>
      </w:r>
      <w:r>
        <w:rPr>
          <w:rFonts w:ascii="Arial" w:hAnsi="Arial" w:cs="Arial"/>
          <w:sz w:val="22"/>
          <w:szCs w:val="22"/>
          <w:lang w:val="en-US"/>
        </w:rPr>
        <w:t>R</w:t>
      </w:r>
      <w:r w:rsidRPr="00235ECD">
        <w:rPr>
          <w:rFonts w:ascii="Arial" w:hAnsi="Arial" w:cs="Arial"/>
          <w:sz w:val="22"/>
          <w:szCs w:val="22"/>
          <w:lang w:val="en-US"/>
        </w:rPr>
        <w:t>e</w:t>
      </w:r>
      <w:r>
        <w:rPr>
          <w:rFonts w:ascii="Arial" w:hAnsi="Arial" w:cs="Arial"/>
          <w:sz w:val="22"/>
          <w:szCs w:val="22"/>
          <w:lang w:val="en-US"/>
        </w:rPr>
        <w:t>forms Promising but Problematic</w:t>
      </w:r>
      <w:r w:rsidRPr="006629B7">
        <w:rPr>
          <w:rFonts w:ascii="Arial" w:eastAsia="Cambria" w:hAnsi="Arial" w:cs="Arial"/>
          <w:color w:val="000000"/>
          <w:sz w:val="22"/>
          <w:szCs w:val="22"/>
          <w:lang w:val="en-CA"/>
        </w:rPr>
        <w:t> »</w:t>
      </w:r>
      <w:r>
        <w:rPr>
          <w:rFonts w:ascii="Arial" w:hAnsi="Arial" w:cs="Arial"/>
          <w:sz w:val="22"/>
          <w:szCs w:val="22"/>
          <w:lang w:val="en-US"/>
        </w:rPr>
        <w:t>,</w:t>
      </w:r>
      <w:r w:rsidRPr="00235ECD">
        <w:rPr>
          <w:rFonts w:ascii="Arial" w:hAnsi="Arial" w:cs="Arial"/>
          <w:sz w:val="22"/>
          <w:szCs w:val="22"/>
          <w:lang w:val="en-US"/>
        </w:rPr>
        <w:t xml:space="preserve"> </w:t>
      </w:r>
      <w:r>
        <w:rPr>
          <w:rFonts w:ascii="Arial" w:hAnsi="Arial" w:cs="Arial"/>
          <w:i/>
          <w:sz w:val="22"/>
          <w:szCs w:val="22"/>
          <w:lang w:val="en-US"/>
        </w:rPr>
        <w:t>Canadian Medical Association Journal</w:t>
      </w:r>
      <w:r w:rsidRPr="004B50FE">
        <w:rPr>
          <w:rFonts w:ascii="Arial" w:hAnsi="Arial" w:cs="Arial"/>
          <w:sz w:val="22"/>
          <w:szCs w:val="22"/>
          <w:lang w:val="en-US"/>
        </w:rPr>
        <w:t xml:space="preserve">, </w:t>
      </w:r>
      <w:r>
        <w:rPr>
          <w:rFonts w:ascii="Arial" w:hAnsi="Arial" w:cs="Arial"/>
          <w:sz w:val="22"/>
          <w:szCs w:val="22"/>
          <w:lang w:val="en-US"/>
        </w:rPr>
        <w:t>vol.</w:t>
      </w:r>
      <w:r w:rsidR="00F00DD9" w:rsidRPr="006629B7">
        <w:rPr>
          <w:rFonts w:ascii="Arial" w:eastAsia="Cambria" w:hAnsi="Arial" w:cs="Arial"/>
          <w:color w:val="000000"/>
          <w:sz w:val="22"/>
          <w:szCs w:val="22"/>
          <w:lang w:val="en-CA"/>
        </w:rPr>
        <w:t> </w:t>
      </w:r>
      <w:r>
        <w:rPr>
          <w:rFonts w:ascii="Arial" w:hAnsi="Arial" w:cs="Arial"/>
          <w:sz w:val="22"/>
          <w:szCs w:val="22"/>
          <w:lang w:val="en-US"/>
        </w:rPr>
        <w:t>189, n</w:t>
      </w:r>
      <w:r w:rsidRPr="004B50FE">
        <w:rPr>
          <w:rFonts w:ascii="Arial" w:hAnsi="Arial" w:cs="Arial"/>
          <w:sz w:val="22"/>
          <w:szCs w:val="22"/>
          <w:vertAlign w:val="superscript"/>
          <w:lang w:val="en-US"/>
        </w:rPr>
        <w:t>o</w:t>
      </w:r>
      <w:r w:rsidR="00F00DD9" w:rsidRPr="006629B7">
        <w:rPr>
          <w:rFonts w:ascii="Arial" w:eastAsia="Cambria" w:hAnsi="Arial" w:cs="Arial"/>
          <w:color w:val="000000"/>
          <w:sz w:val="22"/>
          <w:szCs w:val="22"/>
          <w:lang w:val="en-CA"/>
        </w:rPr>
        <w:t> </w:t>
      </w:r>
      <w:r>
        <w:rPr>
          <w:rFonts w:ascii="Arial" w:hAnsi="Arial" w:cs="Arial"/>
          <w:sz w:val="22"/>
          <w:szCs w:val="22"/>
          <w:lang w:val="en-US"/>
        </w:rPr>
        <w:t>26</w:t>
      </w:r>
      <w:r w:rsidRPr="00235ECD">
        <w:rPr>
          <w:rFonts w:ascii="Arial" w:hAnsi="Arial" w:cs="Arial"/>
          <w:sz w:val="22"/>
          <w:szCs w:val="22"/>
          <w:lang w:val="en-US"/>
        </w:rPr>
        <w:t xml:space="preserve">, </w:t>
      </w:r>
      <w:r>
        <w:rPr>
          <w:rFonts w:ascii="Arial" w:hAnsi="Arial" w:cs="Arial"/>
          <w:sz w:val="22"/>
          <w:szCs w:val="22"/>
          <w:lang w:val="en-US"/>
        </w:rPr>
        <w:t>p.</w:t>
      </w:r>
      <w:r w:rsidR="007837E3">
        <w:rPr>
          <w:rFonts w:ascii="Arial" w:hAnsi="Arial" w:cs="Arial"/>
          <w:sz w:val="22"/>
          <w:szCs w:val="22"/>
          <w:lang w:val="en-US"/>
        </w:rPr>
        <w:t> </w:t>
      </w:r>
      <w:r>
        <w:rPr>
          <w:rFonts w:ascii="Arial" w:hAnsi="Arial" w:cs="Arial"/>
          <w:sz w:val="22"/>
          <w:szCs w:val="22"/>
          <w:lang w:val="en-US"/>
        </w:rPr>
        <w:t>899-900, 2017,</w:t>
      </w:r>
      <w:r w:rsidRPr="00235ECD">
        <w:rPr>
          <w:rFonts w:ascii="Arial" w:hAnsi="Arial" w:cs="Arial"/>
          <w:sz w:val="22"/>
          <w:szCs w:val="22"/>
          <w:lang w:val="en-US"/>
        </w:rPr>
        <w:t xml:space="preserve"> doi</w:t>
      </w:r>
      <w:r w:rsidR="007837E3">
        <w:rPr>
          <w:rFonts w:ascii="Arial" w:hAnsi="Arial" w:cs="Arial"/>
          <w:sz w:val="22"/>
          <w:szCs w:val="22"/>
          <w:lang w:val="en-US"/>
        </w:rPr>
        <w:t> :</w:t>
      </w:r>
      <w:r w:rsidRPr="00235ECD">
        <w:rPr>
          <w:rFonts w:ascii="Arial" w:hAnsi="Arial" w:cs="Arial"/>
          <w:sz w:val="22"/>
          <w:szCs w:val="22"/>
          <w:lang w:val="en-US"/>
        </w:rPr>
        <w:t xml:space="preserve"> 10.1503/cmaj.1095436</w:t>
      </w:r>
      <w:r>
        <w:rPr>
          <w:rFonts w:ascii="Arial" w:hAnsi="Arial" w:cs="Arial"/>
          <w:sz w:val="22"/>
          <w:szCs w:val="22"/>
          <w:lang w:val="en-US"/>
        </w:rPr>
        <w:t>.</w:t>
      </w:r>
      <w:r w:rsidRPr="00235ECD">
        <w:rPr>
          <w:rFonts w:ascii="Arial" w:hAnsi="Arial" w:cs="Arial"/>
          <w:sz w:val="22"/>
          <w:szCs w:val="22"/>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7E"/>
    <w:rsid w:val="00042E3D"/>
    <w:rsid w:val="00047373"/>
    <w:rsid w:val="000658F3"/>
    <w:rsid w:val="00091252"/>
    <w:rsid w:val="00097A64"/>
    <w:rsid w:val="000D29F7"/>
    <w:rsid w:val="000D78BA"/>
    <w:rsid w:val="001045C8"/>
    <w:rsid w:val="001346F7"/>
    <w:rsid w:val="00140C3E"/>
    <w:rsid w:val="001534B5"/>
    <w:rsid w:val="00153BD4"/>
    <w:rsid w:val="0018442D"/>
    <w:rsid w:val="001A7DD6"/>
    <w:rsid w:val="001C58D8"/>
    <w:rsid w:val="001D3F97"/>
    <w:rsid w:val="001D6024"/>
    <w:rsid w:val="001E2993"/>
    <w:rsid w:val="00213D7B"/>
    <w:rsid w:val="00227D4B"/>
    <w:rsid w:val="00235ECD"/>
    <w:rsid w:val="002643E6"/>
    <w:rsid w:val="00284039"/>
    <w:rsid w:val="00285795"/>
    <w:rsid w:val="002952D3"/>
    <w:rsid w:val="002966AF"/>
    <w:rsid w:val="00297239"/>
    <w:rsid w:val="002C5C47"/>
    <w:rsid w:val="002D0C7C"/>
    <w:rsid w:val="002E4A29"/>
    <w:rsid w:val="002F5E35"/>
    <w:rsid w:val="003025BD"/>
    <w:rsid w:val="003060F5"/>
    <w:rsid w:val="003147BC"/>
    <w:rsid w:val="00334E62"/>
    <w:rsid w:val="00363B12"/>
    <w:rsid w:val="00364FF2"/>
    <w:rsid w:val="00392E11"/>
    <w:rsid w:val="003A46C9"/>
    <w:rsid w:val="003A4B4E"/>
    <w:rsid w:val="003D2C03"/>
    <w:rsid w:val="003D3566"/>
    <w:rsid w:val="003E7289"/>
    <w:rsid w:val="0047634C"/>
    <w:rsid w:val="00481971"/>
    <w:rsid w:val="0049054F"/>
    <w:rsid w:val="004A3D4D"/>
    <w:rsid w:val="004B50FE"/>
    <w:rsid w:val="004C3F93"/>
    <w:rsid w:val="004D354E"/>
    <w:rsid w:val="004F07BF"/>
    <w:rsid w:val="004F5FCA"/>
    <w:rsid w:val="00504700"/>
    <w:rsid w:val="00512F16"/>
    <w:rsid w:val="0053521B"/>
    <w:rsid w:val="0054320B"/>
    <w:rsid w:val="00543B3C"/>
    <w:rsid w:val="00553F10"/>
    <w:rsid w:val="005746DD"/>
    <w:rsid w:val="00585E38"/>
    <w:rsid w:val="00585E89"/>
    <w:rsid w:val="005A7253"/>
    <w:rsid w:val="005B0F8E"/>
    <w:rsid w:val="005C6399"/>
    <w:rsid w:val="00601530"/>
    <w:rsid w:val="00632060"/>
    <w:rsid w:val="006629B7"/>
    <w:rsid w:val="00691A0A"/>
    <w:rsid w:val="006A0C49"/>
    <w:rsid w:val="006A7696"/>
    <w:rsid w:val="006B1362"/>
    <w:rsid w:val="006B7F33"/>
    <w:rsid w:val="006D7403"/>
    <w:rsid w:val="006E4C56"/>
    <w:rsid w:val="006F649D"/>
    <w:rsid w:val="007063F9"/>
    <w:rsid w:val="0077299B"/>
    <w:rsid w:val="007772C6"/>
    <w:rsid w:val="007837E3"/>
    <w:rsid w:val="007857B1"/>
    <w:rsid w:val="007C5759"/>
    <w:rsid w:val="007C785B"/>
    <w:rsid w:val="007D4DD3"/>
    <w:rsid w:val="008575C4"/>
    <w:rsid w:val="00872776"/>
    <w:rsid w:val="00876919"/>
    <w:rsid w:val="00883D5B"/>
    <w:rsid w:val="00883DCB"/>
    <w:rsid w:val="00892FD4"/>
    <w:rsid w:val="008A170D"/>
    <w:rsid w:val="008A6B21"/>
    <w:rsid w:val="008B10C8"/>
    <w:rsid w:val="008B529F"/>
    <w:rsid w:val="008F2EAC"/>
    <w:rsid w:val="00927096"/>
    <w:rsid w:val="0093381E"/>
    <w:rsid w:val="0099501F"/>
    <w:rsid w:val="009B462C"/>
    <w:rsid w:val="009D0D84"/>
    <w:rsid w:val="009E08B9"/>
    <w:rsid w:val="00A05428"/>
    <w:rsid w:val="00A14089"/>
    <w:rsid w:val="00A143E5"/>
    <w:rsid w:val="00A22D51"/>
    <w:rsid w:val="00A30908"/>
    <w:rsid w:val="00A41583"/>
    <w:rsid w:val="00A41FE9"/>
    <w:rsid w:val="00A519E2"/>
    <w:rsid w:val="00A55BF5"/>
    <w:rsid w:val="00A617D5"/>
    <w:rsid w:val="00A70C9D"/>
    <w:rsid w:val="00A7112C"/>
    <w:rsid w:val="00A731E7"/>
    <w:rsid w:val="00A87215"/>
    <w:rsid w:val="00AE4E2F"/>
    <w:rsid w:val="00B01BB3"/>
    <w:rsid w:val="00B06732"/>
    <w:rsid w:val="00B115B4"/>
    <w:rsid w:val="00B146DF"/>
    <w:rsid w:val="00B15C99"/>
    <w:rsid w:val="00B230CA"/>
    <w:rsid w:val="00B5320C"/>
    <w:rsid w:val="00B62268"/>
    <w:rsid w:val="00B64487"/>
    <w:rsid w:val="00B64ADB"/>
    <w:rsid w:val="00B73D7D"/>
    <w:rsid w:val="00B95398"/>
    <w:rsid w:val="00BA0388"/>
    <w:rsid w:val="00BA1113"/>
    <w:rsid w:val="00BB7C90"/>
    <w:rsid w:val="00BC1B2D"/>
    <w:rsid w:val="00BC591F"/>
    <w:rsid w:val="00C20C38"/>
    <w:rsid w:val="00C3365B"/>
    <w:rsid w:val="00C4435A"/>
    <w:rsid w:val="00C54C6E"/>
    <w:rsid w:val="00C71383"/>
    <w:rsid w:val="00CC053D"/>
    <w:rsid w:val="00CD5E1F"/>
    <w:rsid w:val="00CF09B7"/>
    <w:rsid w:val="00D004EC"/>
    <w:rsid w:val="00D14ADE"/>
    <w:rsid w:val="00D243F9"/>
    <w:rsid w:val="00D24B8B"/>
    <w:rsid w:val="00D40EBC"/>
    <w:rsid w:val="00D411F1"/>
    <w:rsid w:val="00D45A25"/>
    <w:rsid w:val="00D51084"/>
    <w:rsid w:val="00D6127E"/>
    <w:rsid w:val="00D634EF"/>
    <w:rsid w:val="00D75F56"/>
    <w:rsid w:val="00D760D9"/>
    <w:rsid w:val="00DA0A64"/>
    <w:rsid w:val="00DA7D83"/>
    <w:rsid w:val="00DC3333"/>
    <w:rsid w:val="00DC769A"/>
    <w:rsid w:val="00DD7D81"/>
    <w:rsid w:val="00DE2214"/>
    <w:rsid w:val="00E209BE"/>
    <w:rsid w:val="00E2515B"/>
    <w:rsid w:val="00E5610A"/>
    <w:rsid w:val="00E80AD8"/>
    <w:rsid w:val="00E80EFE"/>
    <w:rsid w:val="00E82803"/>
    <w:rsid w:val="00EA14AA"/>
    <w:rsid w:val="00EB09DF"/>
    <w:rsid w:val="00ED139D"/>
    <w:rsid w:val="00EE1284"/>
    <w:rsid w:val="00EE3CE5"/>
    <w:rsid w:val="00EF0809"/>
    <w:rsid w:val="00F00DD9"/>
    <w:rsid w:val="00F72925"/>
    <w:rsid w:val="00F7674B"/>
    <w:rsid w:val="00F92F23"/>
    <w:rsid w:val="00FA4301"/>
    <w:rsid w:val="00FC49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E8D56"/>
  <w15:docId w15:val="{7A3D44D1-D4A1-46F6-A549-7A4AF5A4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A0388"/>
  </w:style>
  <w:style w:type="character" w:customStyle="1" w:styleId="NotedebasdepageCar">
    <w:name w:val="Note de bas de page Car"/>
    <w:basedOn w:val="Policepardfaut"/>
    <w:link w:val="Notedebasdepage"/>
    <w:uiPriority w:val="99"/>
    <w:rsid w:val="00BA0388"/>
  </w:style>
  <w:style w:type="character" w:styleId="Appelnotedebasdep">
    <w:name w:val="footnote reference"/>
    <w:basedOn w:val="Policepardfaut"/>
    <w:uiPriority w:val="99"/>
    <w:unhideWhenUsed/>
    <w:rsid w:val="00BA0388"/>
    <w:rPr>
      <w:vertAlign w:val="superscript"/>
    </w:rPr>
  </w:style>
  <w:style w:type="character" w:styleId="Marquedecommentaire">
    <w:name w:val="annotation reference"/>
    <w:basedOn w:val="Policepardfaut"/>
    <w:uiPriority w:val="99"/>
    <w:semiHidden/>
    <w:unhideWhenUsed/>
    <w:rsid w:val="00876919"/>
    <w:rPr>
      <w:sz w:val="18"/>
      <w:szCs w:val="18"/>
    </w:rPr>
  </w:style>
  <w:style w:type="paragraph" w:styleId="Commentaire">
    <w:name w:val="annotation text"/>
    <w:basedOn w:val="Normal"/>
    <w:link w:val="CommentaireCar"/>
    <w:uiPriority w:val="99"/>
    <w:semiHidden/>
    <w:unhideWhenUsed/>
    <w:rsid w:val="00876919"/>
  </w:style>
  <w:style w:type="character" w:customStyle="1" w:styleId="CommentaireCar">
    <w:name w:val="Commentaire Car"/>
    <w:basedOn w:val="Policepardfaut"/>
    <w:link w:val="Commentaire"/>
    <w:uiPriority w:val="99"/>
    <w:semiHidden/>
    <w:rsid w:val="00876919"/>
  </w:style>
  <w:style w:type="paragraph" w:styleId="Objetducommentaire">
    <w:name w:val="annotation subject"/>
    <w:basedOn w:val="Commentaire"/>
    <w:next w:val="Commentaire"/>
    <w:link w:val="ObjetducommentaireCar"/>
    <w:uiPriority w:val="99"/>
    <w:semiHidden/>
    <w:unhideWhenUsed/>
    <w:rsid w:val="00876919"/>
    <w:rPr>
      <w:b/>
      <w:bCs/>
      <w:sz w:val="20"/>
      <w:szCs w:val="20"/>
    </w:rPr>
  </w:style>
  <w:style w:type="character" w:customStyle="1" w:styleId="ObjetducommentaireCar">
    <w:name w:val="Objet du commentaire Car"/>
    <w:basedOn w:val="CommentaireCar"/>
    <w:link w:val="Objetducommentaire"/>
    <w:uiPriority w:val="99"/>
    <w:semiHidden/>
    <w:rsid w:val="00876919"/>
    <w:rPr>
      <w:b/>
      <w:bCs/>
      <w:sz w:val="20"/>
      <w:szCs w:val="20"/>
    </w:rPr>
  </w:style>
  <w:style w:type="paragraph" w:styleId="Textedebulles">
    <w:name w:val="Balloon Text"/>
    <w:basedOn w:val="Normal"/>
    <w:link w:val="TextedebullesCar"/>
    <w:uiPriority w:val="99"/>
    <w:semiHidden/>
    <w:unhideWhenUsed/>
    <w:rsid w:val="008769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76919"/>
    <w:rPr>
      <w:rFonts w:ascii="Lucida Grande" w:hAnsi="Lucida Grande" w:cs="Lucida Grande"/>
      <w:sz w:val="18"/>
      <w:szCs w:val="18"/>
    </w:rPr>
  </w:style>
  <w:style w:type="character" w:styleId="Lienhypertexte">
    <w:name w:val="Hyperlink"/>
    <w:basedOn w:val="Policepardfaut"/>
    <w:uiPriority w:val="99"/>
    <w:semiHidden/>
    <w:unhideWhenUsed/>
    <w:rsid w:val="00A41583"/>
    <w:rPr>
      <w:color w:val="0000FF"/>
      <w:u w:val="single"/>
    </w:rPr>
  </w:style>
  <w:style w:type="paragraph" w:styleId="Pieddepage">
    <w:name w:val="footer"/>
    <w:basedOn w:val="Normal"/>
    <w:link w:val="PieddepageCar"/>
    <w:uiPriority w:val="99"/>
    <w:unhideWhenUsed/>
    <w:rsid w:val="003060F5"/>
    <w:pPr>
      <w:tabs>
        <w:tab w:val="center" w:pos="4536"/>
        <w:tab w:val="right" w:pos="9072"/>
      </w:tabs>
    </w:pPr>
  </w:style>
  <w:style w:type="character" w:customStyle="1" w:styleId="PieddepageCar">
    <w:name w:val="Pied de page Car"/>
    <w:basedOn w:val="Policepardfaut"/>
    <w:link w:val="Pieddepage"/>
    <w:uiPriority w:val="99"/>
    <w:rsid w:val="003060F5"/>
  </w:style>
  <w:style w:type="character" w:styleId="Numrodepage">
    <w:name w:val="page number"/>
    <w:basedOn w:val="Policepardfaut"/>
    <w:uiPriority w:val="99"/>
    <w:semiHidden/>
    <w:unhideWhenUsed/>
    <w:rsid w:val="0030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7</Pages>
  <Words>3493</Words>
  <Characters>19212</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dc:creator>
  <cp:keywords/>
  <dc:description/>
  <cp:lastModifiedBy>Annie Talbot</cp:lastModifiedBy>
  <cp:revision>129</cp:revision>
  <dcterms:created xsi:type="dcterms:W3CDTF">2020-01-19T13:57:00Z</dcterms:created>
  <dcterms:modified xsi:type="dcterms:W3CDTF">2020-01-22T20:16:00Z</dcterms:modified>
</cp:coreProperties>
</file>