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D9E6A" w14:textId="77777777" w:rsidR="005C4248" w:rsidRPr="005C4248" w:rsidRDefault="005C4248" w:rsidP="002A0850">
      <w:pPr>
        <w:pStyle w:val="Title"/>
        <w:rPr>
          <w:rFonts w:ascii="Segoe UI" w:hAnsi="Segoe UI"/>
          <w:sz w:val="18"/>
          <w:szCs w:val="18"/>
        </w:rPr>
      </w:pPr>
      <w:r w:rsidRPr="005C4248">
        <w:t>Age-Related Macular Degeneration (AMD): Research &amp; Practice </w:t>
      </w:r>
    </w:p>
    <w:p w14:paraId="29A2F577" w14:textId="77777777" w:rsidR="005C4248" w:rsidRPr="003A0F72" w:rsidRDefault="005C4248" w:rsidP="002A0850">
      <w:pPr>
        <w:pStyle w:val="Subtitle"/>
        <w:rPr>
          <w:rFonts w:ascii="Segoe UI" w:hAnsi="Segoe UI"/>
          <w:color w:val="AD0000"/>
          <w:sz w:val="18"/>
          <w:szCs w:val="18"/>
        </w:rPr>
      </w:pPr>
      <w:r w:rsidRPr="6FD37E38">
        <w:rPr>
          <w:color w:val="AD0000"/>
        </w:rPr>
        <w:t>February 24, 2026 </w:t>
      </w:r>
    </w:p>
    <w:p w14:paraId="444FEBC7" w14:textId="77777777" w:rsidR="005C4248" w:rsidRDefault="005C4248" w:rsidP="6FD37E38">
      <w:pPr>
        <w:pStyle w:val="Heading1"/>
      </w:pPr>
      <w:r>
        <w:t xml:space="preserve">Webinar Transcript </w:t>
      </w:r>
      <w:r>
        <w:br/>
      </w:r>
    </w:p>
    <w:p w14:paraId="6BAFAF78" w14:textId="06CB678B" w:rsidR="005C4248" w:rsidRPr="005C4248" w:rsidRDefault="005C4248" w:rsidP="005C4248">
      <w:pPr>
        <w:textAlignment w:val="baseline"/>
        <w:rPr>
          <w:rFonts w:ascii="Segoe UI" w:hAnsi="Segoe UI" w:cs="Segoe UI"/>
          <w:color w:val="auto"/>
          <w:sz w:val="18"/>
          <w:szCs w:val="18"/>
        </w:rPr>
      </w:pPr>
      <w:r w:rsidRPr="002A0850">
        <w:rPr>
          <w:rStyle w:val="Heading3Char"/>
        </w:rPr>
        <w:t>Speakers:</w:t>
      </w:r>
      <w:r w:rsidRPr="005C4248">
        <w:rPr>
          <w:rFonts w:ascii="Aptos" w:hAnsi="Aptos" w:cs="Segoe UI"/>
          <w:color w:val="auto"/>
          <w:szCs w:val="24"/>
        </w:rPr>
        <w:t> Morgan Ineson; Dr. Larissa Moniz; Dr. Shaheer Aboobaker </w:t>
      </w:r>
    </w:p>
    <w:p w14:paraId="495B71E0" w14:textId="77777777" w:rsidR="005C4248" w:rsidRDefault="005C4248" w:rsidP="005C4248">
      <w:pPr>
        <w:textAlignment w:val="baseline"/>
        <w:rPr>
          <w:rFonts w:ascii="Aptos" w:hAnsi="Aptos" w:cs="Segoe UI"/>
          <w:b/>
          <w:bCs/>
          <w:color w:val="auto"/>
          <w:szCs w:val="24"/>
        </w:rPr>
      </w:pPr>
    </w:p>
    <w:p w14:paraId="4DEB753F" w14:textId="4915188B"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Welcome, everyone. Today’s webinar will focus on age-related macular degeneration (AMD), looking at both current treatments and the research shaping what’s coming next. </w:t>
      </w:r>
    </w:p>
    <w:p w14:paraId="5CFDC608"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We’ll discuss the standard of care for dry and wet AMD, how the landscape has evolved, what clinical trials look like today, and what we can realistically expect to see in the years ahead. </w:t>
      </w:r>
    </w:p>
    <w:p w14:paraId="0EA2FA13"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Whether you’re living with AMD or supporting someone who is, we’re very glad you’re here. </w:t>
      </w:r>
    </w:p>
    <w:p w14:paraId="47AB178F" w14:textId="77777777" w:rsidR="005C4248" w:rsidRDefault="005C4248" w:rsidP="005C4248">
      <w:pPr>
        <w:textAlignment w:val="baseline"/>
        <w:rPr>
          <w:rFonts w:ascii="Aptos" w:hAnsi="Aptos" w:cs="Segoe UI"/>
          <w:b/>
          <w:bCs/>
          <w:color w:val="auto"/>
          <w:szCs w:val="24"/>
        </w:rPr>
      </w:pPr>
    </w:p>
    <w:p w14:paraId="1D60643A" w14:textId="09B3AA82"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 also want to thank our 2026 sponsors who’ve made this program possible. A big thank you to our presenting partner, </w:t>
      </w:r>
      <w:r w:rsidRPr="005C4248">
        <w:rPr>
          <w:rFonts w:ascii="Aptos" w:hAnsi="Aptos" w:cs="Segoe UI"/>
          <w:b/>
          <w:bCs/>
          <w:color w:val="auto"/>
          <w:szCs w:val="24"/>
        </w:rPr>
        <w:t>Bayer</w:t>
      </w:r>
      <w:r w:rsidRPr="005C4248">
        <w:rPr>
          <w:rFonts w:ascii="Aptos" w:hAnsi="Aptos" w:cs="Segoe UI"/>
          <w:color w:val="auto"/>
          <w:szCs w:val="24"/>
        </w:rPr>
        <w:t>, our Connections partner, </w:t>
      </w:r>
      <w:r w:rsidRPr="005C4248">
        <w:rPr>
          <w:rFonts w:ascii="Aptos" w:hAnsi="Aptos" w:cs="Segoe UI"/>
          <w:b/>
          <w:bCs/>
          <w:color w:val="auto"/>
          <w:szCs w:val="24"/>
        </w:rPr>
        <w:t>Roche</w:t>
      </w:r>
      <w:r w:rsidRPr="005C4248">
        <w:rPr>
          <w:rFonts w:ascii="Aptos" w:hAnsi="Aptos" w:cs="Segoe UI"/>
          <w:color w:val="auto"/>
          <w:szCs w:val="24"/>
        </w:rPr>
        <w:t>, and our silver partners, </w:t>
      </w:r>
      <w:r w:rsidRPr="005C4248">
        <w:rPr>
          <w:rFonts w:ascii="Aptos" w:hAnsi="Aptos" w:cs="Segoe UI"/>
          <w:b/>
          <w:bCs/>
          <w:color w:val="auto"/>
          <w:szCs w:val="24"/>
        </w:rPr>
        <w:t>Astellas</w:t>
      </w:r>
      <w:r w:rsidRPr="005C4248">
        <w:rPr>
          <w:rFonts w:ascii="Aptos" w:hAnsi="Aptos" w:cs="Segoe UI"/>
          <w:color w:val="auto"/>
          <w:szCs w:val="24"/>
        </w:rPr>
        <w:t> and </w:t>
      </w:r>
      <w:r w:rsidRPr="005C4248">
        <w:rPr>
          <w:rFonts w:ascii="Aptos" w:hAnsi="Aptos" w:cs="Segoe UI"/>
          <w:b/>
          <w:bCs/>
          <w:color w:val="auto"/>
          <w:szCs w:val="24"/>
        </w:rPr>
        <w:t>Beacon Therapeutics</w:t>
      </w:r>
      <w:r w:rsidRPr="005C4248">
        <w:rPr>
          <w:rFonts w:ascii="Aptos" w:hAnsi="Aptos" w:cs="Segoe UI"/>
          <w:color w:val="auto"/>
          <w:szCs w:val="24"/>
        </w:rPr>
        <w:t>. </w:t>
      </w:r>
    </w:p>
    <w:p w14:paraId="4AC0E2F9" w14:textId="77777777" w:rsidR="00BE21D5" w:rsidRDefault="00BE21D5" w:rsidP="005C4248">
      <w:pPr>
        <w:textAlignment w:val="baseline"/>
        <w:rPr>
          <w:rFonts w:ascii="Aptos" w:hAnsi="Aptos" w:cs="Segoe UI"/>
          <w:b/>
          <w:bCs/>
          <w:color w:val="auto"/>
          <w:szCs w:val="24"/>
        </w:rPr>
      </w:pPr>
    </w:p>
    <w:p w14:paraId="15F1B6D3" w14:textId="257D15FA"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Thank you to everybody for joining us. We have record attendance today, and it’s a great way to start our first webinar of 2026. </w:t>
      </w:r>
    </w:p>
    <w:p w14:paraId="25E9FCFF" w14:textId="77777777" w:rsidR="00BE21D5" w:rsidRDefault="00BE21D5" w:rsidP="00BE21D5">
      <w:pPr>
        <w:textAlignment w:val="baseline"/>
        <w:rPr>
          <w:rFonts w:ascii="Aptos" w:hAnsi="Aptos" w:cs="Segoe UI"/>
          <w:color w:val="auto"/>
          <w:szCs w:val="24"/>
        </w:rPr>
      </w:pPr>
    </w:p>
    <w:p w14:paraId="74FF8781" w14:textId="64D04B6A" w:rsidR="005C4248" w:rsidRPr="005C4248" w:rsidRDefault="005C4248" w:rsidP="00BE21D5">
      <w:pPr>
        <w:textAlignment w:val="baseline"/>
        <w:rPr>
          <w:rFonts w:ascii="Segoe UI" w:hAnsi="Segoe UI" w:cs="Segoe UI"/>
          <w:color w:val="auto"/>
          <w:sz w:val="18"/>
          <w:szCs w:val="18"/>
        </w:rPr>
      </w:pPr>
      <w:r w:rsidRPr="005C4248">
        <w:rPr>
          <w:rFonts w:ascii="Aptos" w:hAnsi="Aptos" w:cs="Segoe UI"/>
          <w:color w:val="auto"/>
          <w:szCs w:val="24"/>
        </w:rPr>
        <w:t>We’re really lucky to have Dr. Shaheer Aboobaker with us—someone working at the intersection of patient care and research, which is exactly what we want to explore today: what’s happening in AMD treatment and research, what’s coming soon, and what may still be further away. </w:t>
      </w:r>
    </w:p>
    <w:p w14:paraId="178FB45A" w14:textId="77777777" w:rsidR="00BE21D5" w:rsidRDefault="00BE21D5" w:rsidP="005C4248">
      <w:pPr>
        <w:textAlignment w:val="baseline"/>
        <w:rPr>
          <w:rFonts w:ascii="Aptos" w:hAnsi="Aptos" w:cs="Segoe UI"/>
          <w:color w:val="auto"/>
          <w:szCs w:val="24"/>
        </w:rPr>
      </w:pPr>
    </w:p>
    <w:p w14:paraId="09FE4B50" w14:textId="1C9B9429"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Dr. Shaheer Aboobaker is a vitreoretinal surgeon and Co-Director of Clinical Research at the Toronto Retina Institute. He cares for patients with retinal conditions, including AMD, and is actively involved in a number of global clinical trials. </w:t>
      </w:r>
    </w:p>
    <w:p w14:paraId="39EDD37A" w14:textId="77777777" w:rsidR="00BE21D5" w:rsidRDefault="00BE21D5" w:rsidP="005C4248">
      <w:pPr>
        <w:textAlignment w:val="baseline"/>
        <w:rPr>
          <w:rFonts w:ascii="Aptos" w:hAnsi="Aptos" w:cs="Segoe UI"/>
          <w:color w:val="auto"/>
          <w:szCs w:val="24"/>
        </w:rPr>
      </w:pPr>
    </w:p>
    <w:p w14:paraId="7B9C01D1" w14:textId="7F0690CC"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Before we get started, I want to provide some quick grounding information about AMD so we’re all starting from the same page. </w:t>
      </w:r>
    </w:p>
    <w:p w14:paraId="2AFEB340"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AMD affects the retina, the light-sensing tissue at the back of the eye. In particular, AMD affects the </w:t>
      </w:r>
      <w:r w:rsidRPr="005C4248">
        <w:rPr>
          <w:rFonts w:ascii="Aptos" w:hAnsi="Aptos" w:cs="Segoe UI"/>
          <w:b/>
          <w:bCs/>
          <w:color w:val="auto"/>
          <w:szCs w:val="24"/>
        </w:rPr>
        <w:t>macula</w:t>
      </w:r>
      <w:r w:rsidRPr="005C4248">
        <w:rPr>
          <w:rFonts w:ascii="Aptos" w:hAnsi="Aptos" w:cs="Segoe UI"/>
          <w:color w:val="auto"/>
          <w:szCs w:val="24"/>
        </w:rPr>
        <w:t>, the part of the retina responsible for central vision—things like reading and recognizing faces. </w:t>
      </w:r>
    </w:p>
    <w:p w14:paraId="10ED4735" w14:textId="77777777" w:rsidR="00BE21D5" w:rsidRDefault="00BE21D5" w:rsidP="005C4248">
      <w:pPr>
        <w:textAlignment w:val="baseline"/>
        <w:rPr>
          <w:rFonts w:ascii="Aptos" w:hAnsi="Aptos" w:cs="Segoe UI"/>
          <w:color w:val="auto"/>
          <w:szCs w:val="24"/>
        </w:rPr>
      </w:pPr>
    </w:p>
    <w:p w14:paraId="082F6FB3" w14:textId="73D6C26A"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 are two main types of AMD: </w:t>
      </w:r>
      <w:r w:rsidRPr="005C4248">
        <w:rPr>
          <w:rFonts w:ascii="Aptos" w:hAnsi="Aptos" w:cs="Segoe UI"/>
          <w:b/>
          <w:bCs/>
          <w:color w:val="auto"/>
          <w:szCs w:val="24"/>
        </w:rPr>
        <w:t>dry AMD</w:t>
      </w:r>
      <w:r w:rsidRPr="005C4248">
        <w:rPr>
          <w:rFonts w:ascii="Aptos" w:hAnsi="Aptos" w:cs="Segoe UI"/>
          <w:color w:val="auto"/>
          <w:szCs w:val="24"/>
        </w:rPr>
        <w:t> and </w:t>
      </w:r>
      <w:r w:rsidRPr="005C4248">
        <w:rPr>
          <w:rFonts w:ascii="Aptos" w:hAnsi="Aptos" w:cs="Segoe UI"/>
          <w:b/>
          <w:bCs/>
          <w:color w:val="auto"/>
          <w:szCs w:val="24"/>
        </w:rPr>
        <w:t>wet AMD</w:t>
      </w:r>
      <w:r w:rsidRPr="005C4248">
        <w:rPr>
          <w:rFonts w:ascii="Aptos" w:hAnsi="Aptos" w:cs="Segoe UI"/>
          <w:color w:val="auto"/>
          <w:szCs w:val="24"/>
        </w:rPr>
        <w:t>. Dry AMD typically progresses more slowly, but it can advance to </w:t>
      </w:r>
      <w:r w:rsidRPr="005C4248">
        <w:rPr>
          <w:rFonts w:ascii="Aptos" w:hAnsi="Aptos" w:cs="Segoe UI"/>
          <w:b/>
          <w:bCs/>
          <w:color w:val="auto"/>
          <w:szCs w:val="24"/>
        </w:rPr>
        <w:t>geographic atrophy</w:t>
      </w:r>
      <w:r w:rsidRPr="005C4248">
        <w:rPr>
          <w:rFonts w:ascii="Aptos" w:hAnsi="Aptos" w:cs="Segoe UI"/>
          <w:color w:val="auto"/>
          <w:szCs w:val="24"/>
        </w:rPr>
        <w:t>, which can cause significant vision loss. Wet AMD involves abnormal blood vessel growth in the eye, and if it isn’t caught and treated early, it can cause more rapid vision loss. </w:t>
      </w:r>
    </w:p>
    <w:p w14:paraId="767DFF26" w14:textId="77777777" w:rsidR="00BE21D5" w:rsidRDefault="00BE21D5" w:rsidP="005C4248">
      <w:pPr>
        <w:textAlignment w:val="baseline"/>
        <w:rPr>
          <w:rFonts w:ascii="Aptos" w:hAnsi="Aptos" w:cs="Segoe UI"/>
          <w:color w:val="auto"/>
          <w:szCs w:val="24"/>
        </w:rPr>
      </w:pPr>
    </w:p>
    <w:p w14:paraId="1EDCEA84" w14:textId="79D188E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Today, we won’t spend a lot of time on diagnosis or symptoms, because we’ve covered those in previous webinars and we have information on our website. We’ll share those links afterward. Instead, we’ll focus on treatment, innovation, and what that means in practical terms. </w:t>
      </w:r>
    </w:p>
    <w:p w14:paraId="05DE8634" w14:textId="77777777" w:rsidR="00BE21D5" w:rsidRDefault="00BE21D5" w:rsidP="005C4248">
      <w:pPr>
        <w:textAlignment w:val="baseline"/>
        <w:rPr>
          <w:rFonts w:ascii="Aptos" w:hAnsi="Aptos" w:cs="Segoe UI"/>
          <w:color w:val="auto"/>
          <w:szCs w:val="24"/>
        </w:rPr>
      </w:pPr>
    </w:p>
    <w:p w14:paraId="1C1D7E2E" w14:textId="5AB2511C"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Thank you for your patience, Dr. Aboobaker. Let’s begin with where things stand today. If a patient comes to you and you diagnose them with either dry or wet AMD, what treatment would you recommend? What should they expect? </w:t>
      </w:r>
    </w:p>
    <w:p w14:paraId="597E93FC" w14:textId="77777777" w:rsidR="00BE21D5" w:rsidRDefault="00BE21D5" w:rsidP="005C4248">
      <w:pPr>
        <w:textAlignment w:val="baseline"/>
        <w:rPr>
          <w:rFonts w:ascii="Aptos" w:hAnsi="Aptos" w:cs="Segoe UI"/>
          <w:b/>
          <w:bCs/>
          <w:color w:val="0F4761"/>
          <w:sz w:val="28"/>
          <w:szCs w:val="28"/>
        </w:rPr>
      </w:pPr>
    </w:p>
    <w:p w14:paraId="327E7557" w14:textId="44CF2300" w:rsidR="005C4248" w:rsidRPr="005C4248" w:rsidRDefault="005C4248" w:rsidP="6FD37E38">
      <w:pPr>
        <w:pStyle w:val="Heading2"/>
        <w:rPr>
          <w:rFonts w:ascii="Segoe UI" w:hAnsi="Segoe UI"/>
          <w:sz w:val="18"/>
          <w:szCs w:val="18"/>
        </w:rPr>
      </w:pPr>
      <w:r>
        <w:t>Current Standard of Care: Dry AMD vs. Wet AMD </w:t>
      </w:r>
    </w:p>
    <w:p w14:paraId="12936223" w14:textId="59CB3F85" w:rsidR="6FD37E38" w:rsidRDefault="6FD37E38" w:rsidP="6FD37E38">
      <w:pPr>
        <w:rPr>
          <w:rFonts w:ascii="Aptos" w:hAnsi="Aptos" w:cs="Segoe UI"/>
          <w:b/>
          <w:bCs/>
          <w:color w:val="auto"/>
        </w:rPr>
      </w:pPr>
    </w:p>
    <w:p w14:paraId="38686126"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Thanks for the question, and thanks for having me. I’m really happy to be here, and happy to see so many attendees. I know some of my own patients said they’d be attending as well. </w:t>
      </w:r>
    </w:p>
    <w:p w14:paraId="1763C0C7"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As you outlined, there are two different “buckets” in terms of treatment: dry AMD and wet AMD. </w:t>
      </w:r>
    </w:p>
    <w:p w14:paraId="66196017" w14:textId="77777777" w:rsidR="00BE21D5" w:rsidRDefault="00BE21D5" w:rsidP="005C4248">
      <w:pPr>
        <w:textAlignment w:val="baseline"/>
        <w:rPr>
          <w:rFonts w:ascii="Aptos" w:hAnsi="Aptos" w:cs="Segoe UI"/>
          <w:color w:val="auto"/>
          <w:szCs w:val="24"/>
        </w:rPr>
      </w:pPr>
    </w:p>
    <w:p w14:paraId="68E76131" w14:textId="68001458"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w:t>
      </w:r>
      <w:r w:rsidRPr="005C4248">
        <w:rPr>
          <w:rFonts w:ascii="Aptos" w:hAnsi="Aptos" w:cs="Segoe UI"/>
          <w:b/>
          <w:bCs/>
          <w:color w:val="auto"/>
          <w:szCs w:val="24"/>
        </w:rPr>
        <w:t>dry AMD</w:t>
      </w:r>
      <w:r w:rsidRPr="005C4248">
        <w:rPr>
          <w:rFonts w:ascii="Aptos" w:hAnsi="Aptos" w:cs="Segoe UI"/>
          <w:color w:val="auto"/>
          <w:szCs w:val="24"/>
        </w:rPr>
        <w:t>, we’ve struggled with treatment for a long time. For many years, the standard recommendation has been to start or continue </w:t>
      </w:r>
      <w:r w:rsidRPr="005C4248">
        <w:rPr>
          <w:rFonts w:ascii="Aptos" w:hAnsi="Aptos" w:cs="Segoe UI"/>
          <w:b/>
          <w:bCs/>
          <w:color w:val="auto"/>
          <w:szCs w:val="24"/>
        </w:rPr>
        <w:t>multivitamins</w:t>
      </w:r>
      <w:r w:rsidRPr="005C4248">
        <w:rPr>
          <w:rFonts w:ascii="Aptos" w:hAnsi="Aptos" w:cs="Segoe UI"/>
          <w:color w:val="auto"/>
          <w:szCs w:val="24"/>
        </w:rPr>
        <w:t>, particularly the </w:t>
      </w:r>
      <w:r w:rsidRPr="005C4248">
        <w:rPr>
          <w:rFonts w:ascii="Aptos" w:hAnsi="Aptos" w:cs="Segoe UI"/>
          <w:b/>
          <w:bCs/>
          <w:color w:val="auto"/>
          <w:szCs w:val="24"/>
        </w:rPr>
        <w:t>AREDS2</w:t>
      </w:r>
      <w:r w:rsidRPr="005C4248">
        <w:rPr>
          <w:rFonts w:ascii="Aptos" w:hAnsi="Aptos" w:cs="Segoe UI"/>
          <w:color w:val="auto"/>
          <w:szCs w:val="24"/>
        </w:rPr>
        <w:t> formulation. It includes antioxidants, and we believe inflammation plays a role in dry AMD. AREDS2 has been shown to slow progression, and more recent research suggests it may continue to help even in later stages—once geographic atrophy develops, it can still slow progression. </w:t>
      </w:r>
    </w:p>
    <w:p w14:paraId="61B264B9" w14:textId="77777777" w:rsidR="00BE21D5" w:rsidRDefault="00BE21D5" w:rsidP="005C4248">
      <w:pPr>
        <w:textAlignment w:val="baseline"/>
        <w:rPr>
          <w:rFonts w:ascii="Aptos" w:hAnsi="Aptos" w:cs="Segoe UI"/>
          <w:color w:val="auto"/>
          <w:szCs w:val="24"/>
        </w:rPr>
      </w:pPr>
    </w:p>
    <w:p w14:paraId="0F8878E9" w14:textId="76883050"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We also discuss </w:t>
      </w:r>
      <w:r w:rsidRPr="005C4248">
        <w:rPr>
          <w:rFonts w:ascii="Aptos" w:hAnsi="Aptos" w:cs="Segoe UI"/>
          <w:b/>
          <w:bCs/>
          <w:color w:val="auto"/>
          <w:szCs w:val="24"/>
        </w:rPr>
        <w:t>dietary changes</w:t>
      </w:r>
      <w:r w:rsidRPr="005C4248">
        <w:rPr>
          <w:rFonts w:ascii="Aptos" w:hAnsi="Aptos" w:cs="Segoe UI"/>
          <w:color w:val="auto"/>
          <w:szCs w:val="24"/>
        </w:rPr>
        <w:t>: green leafy vegetables and oily fish (high in omega-3s and omega-6s)—things like salmon, trout, spinach, and kale—ideally two to three times per week. </w:t>
      </w:r>
    </w:p>
    <w:p w14:paraId="03FB439B" w14:textId="77777777" w:rsidR="00BE21D5" w:rsidRDefault="00BE21D5" w:rsidP="005C4248">
      <w:pPr>
        <w:textAlignment w:val="baseline"/>
        <w:rPr>
          <w:rFonts w:ascii="Aptos" w:hAnsi="Aptos" w:cs="Segoe UI"/>
          <w:color w:val="auto"/>
          <w:szCs w:val="24"/>
        </w:rPr>
      </w:pPr>
    </w:p>
    <w:p w14:paraId="01932989" w14:textId="13CEEA32"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As you can hear, these aren’t “new” or high-tech therapies. We’re still relying on what we learned 10–15 years ago, and unfortunately we haven’t had a massive breakthrough yet for dry AMD. </w:t>
      </w:r>
    </w:p>
    <w:p w14:paraId="67224759" w14:textId="77777777" w:rsidR="00BE21D5" w:rsidRDefault="00BE21D5" w:rsidP="005C4248">
      <w:pPr>
        <w:textAlignment w:val="baseline"/>
        <w:rPr>
          <w:rFonts w:ascii="Aptos" w:hAnsi="Aptos" w:cs="Segoe UI"/>
          <w:color w:val="auto"/>
          <w:szCs w:val="24"/>
        </w:rPr>
      </w:pPr>
    </w:p>
    <w:p w14:paraId="05AD2AAA" w14:textId="595D30B4"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w:t>
      </w:r>
      <w:r w:rsidRPr="005C4248">
        <w:rPr>
          <w:rFonts w:ascii="Aptos" w:hAnsi="Aptos" w:cs="Segoe UI"/>
          <w:b/>
          <w:bCs/>
          <w:color w:val="auto"/>
          <w:szCs w:val="24"/>
        </w:rPr>
        <w:t>wet AMD</w:t>
      </w:r>
      <w:r w:rsidRPr="005C4248">
        <w:rPr>
          <w:rFonts w:ascii="Aptos" w:hAnsi="Aptos" w:cs="Segoe UI"/>
          <w:color w:val="auto"/>
          <w:szCs w:val="24"/>
        </w:rPr>
        <w:t>, standard of care is injections into the eye—typically monthly at first, and then longer intervals if we can extend—using an </w:t>
      </w:r>
      <w:r w:rsidRPr="005C4248">
        <w:rPr>
          <w:rFonts w:ascii="Aptos" w:hAnsi="Aptos" w:cs="Segoe UI"/>
          <w:b/>
          <w:bCs/>
          <w:color w:val="auto"/>
          <w:szCs w:val="24"/>
        </w:rPr>
        <w:t>anti-VEGF</w:t>
      </w:r>
      <w:r w:rsidRPr="005C4248">
        <w:rPr>
          <w:rFonts w:ascii="Aptos" w:hAnsi="Aptos" w:cs="Segoe UI"/>
          <w:color w:val="auto"/>
          <w:szCs w:val="24"/>
        </w:rPr>
        <w:t> drug (anti–vascular endothelial growth factor). This limits abnormal blood vessel growth. These injections have changed our field: before, people could lose vision very suddenly; with injections, we can often preserve and even improve vision. I have patients who’ve been receiving injections for 12–13 years. </w:t>
      </w:r>
    </w:p>
    <w:p w14:paraId="1C83A530" w14:textId="77777777" w:rsidR="00BE21D5" w:rsidRDefault="00BE21D5" w:rsidP="005C4248">
      <w:pPr>
        <w:textAlignment w:val="baseline"/>
        <w:rPr>
          <w:rFonts w:ascii="Aptos" w:hAnsi="Aptos" w:cs="Segoe UI"/>
          <w:b/>
          <w:bCs/>
          <w:color w:val="0F4761"/>
          <w:sz w:val="28"/>
          <w:szCs w:val="28"/>
        </w:rPr>
      </w:pPr>
    </w:p>
    <w:p w14:paraId="5F4A7095" w14:textId="291818FF" w:rsidR="005C4248" w:rsidRPr="005C4248" w:rsidRDefault="005C4248" w:rsidP="6FD37E38">
      <w:pPr>
        <w:pStyle w:val="Heading2"/>
        <w:rPr>
          <w:rFonts w:ascii="Segoe UI" w:hAnsi="Segoe UI"/>
          <w:sz w:val="18"/>
          <w:szCs w:val="18"/>
        </w:rPr>
      </w:pPr>
      <w:r>
        <w:t>How Long Do Injections Work? </w:t>
      </w:r>
    </w:p>
    <w:p w14:paraId="15C8342A" w14:textId="77777777" w:rsidR="00BE21D5" w:rsidRDefault="00BE21D5" w:rsidP="005C4248">
      <w:pPr>
        <w:textAlignment w:val="baseline"/>
        <w:rPr>
          <w:rFonts w:ascii="Aptos" w:hAnsi="Aptos" w:cs="Segoe UI"/>
          <w:b/>
          <w:bCs/>
          <w:color w:val="auto"/>
          <w:szCs w:val="24"/>
        </w:rPr>
      </w:pPr>
    </w:p>
    <w:p w14:paraId="45CDEBA3" w14:textId="0164DEE9"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A follow-up about wet AMD injections: do they continue to work long-term for most patients? Do some patients stop responding? </w:t>
      </w:r>
    </w:p>
    <w:p w14:paraId="77E7DD00" w14:textId="77777777" w:rsidR="00BE21D5" w:rsidRDefault="00BE21D5" w:rsidP="005C4248">
      <w:pPr>
        <w:textAlignment w:val="baseline"/>
        <w:rPr>
          <w:rFonts w:ascii="Aptos" w:hAnsi="Aptos" w:cs="Segoe UI"/>
          <w:b/>
          <w:bCs/>
          <w:color w:val="auto"/>
          <w:szCs w:val="24"/>
        </w:rPr>
      </w:pPr>
    </w:p>
    <w:p w14:paraId="07D5AF33" w14:textId="3C85E67B"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That’s a great question, and one we hear all the time: “How long will I need this treatment?” </w:t>
      </w:r>
    </w:p>
    <w:p w14:paraId="2BAEE8FB"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In general, the drugs continue to work long-term. Every patient is different, and intervals vary. Some people can be extended to 16 weeks; others may be stable at 8 or 10 weeks. It’s very individualized. </w:t>
      </w:r>
    </w:p>
    <w:p w14:paraId="130041D8" w14:textId="77777777" w:rsidR="00BE21D5" w:rsidRDefault="00BE21D5" w:rsidP="005C4248">
      <w:pPr>
        <w:textAlignment w:val="baseline"/>
        <w:rPr>
          <w:rFonts w:ascii="Aptos" w:hAnsi="Aptos" w:cs="Segoe UI"/>
          <w:color w:val="auto"/>
          <w:szCs w:val="24"/>
        </w:rPr>
      </w:pPr>
    </w:p>
    <w:p w14:paraId="702CBA86" w14:textId="15164921"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There’s also a hypothesis called </w:t>
      </w:r>
      <w:r w:rsidRPr="005C4248">
        <w:rPr>
          <w:rFonts w:ascii="Aptos" w:hAnsi="Aptos" w:cs="Segoe UI"/>
          <w:b/>
          <w:bCs/>
          <w:color w:val="auto"/>
          <w:szCs w:val="24"/>
        </w:rPr>
        <w:t>tachyphylaxis</w:t>
      </w:r>
      <w:r w:rsidRPr="005C4248">
        <w:rPr>
          <w:rFonts w:ascii="Aptos" w:hAnsi="Aptos" w:cs="Segoe UI"/>
          <w:color w:val="auto"/>
          <w:szCs w:val="24"/>
        </w:rPr>
        <w:t>, meaning a reduced response over time. I think it may exist to a small degree, but in my practice, when I see more disease activity, I usually consider whether the disease is reactivating rather than the drug “stopping” working. </w:t>
      </w:r>
    </w:p>
    <w:p w14:paraId="47E9CD32" w14:textId="77777777" w:rsidR="00BE21D5" w:rsidRDefault="00BE21D5" w:rsidP="005C4248">
      <w:pPr>
        <w:textAlignment w:val="baseline"/>
        <w:rPr>
          <w:rFonts w:ascii="Aptos" w:hAnsi="Aptos" w:cs="Segoe UI"/>
          <w:color w:val="auto"/>
          <w:szCs w:val="24"/>
        </w:rPr>
      </w:pPr>
    </w:p>
    <w:p w14:paraId="7EFCA29C" w14:textId="0BEAC08E"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That said, we do have newer agents that have come to market in the last few years, and we’re always looking for ways to reduce treatment burden and extend intervals. </w:t>
      </w:r>
    </w:p>
    <w:p w14:paraId="3CF7254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705E9A5D" w14:textId="77777777" w:rsidR="005C4248" w:rsidRPr="005C4248" w:rsidRDefault="005C4248" w:rsidP="6FD37E38">
      <w:pPr>
        <w:pStyle w:val="Heading2"/>
        <w:rPr>
          <w:rFonts w:ascii="Segoe UI" w:hAnsi="Segoe UI"/>
          <w:sz w:val="18"/>
          <w:szCs w:val="18"/>
        </w:rPr>
      </w:pPr>
      <w:r>
        <w:t>Common Questions and Concerns About Injections </w:t>
      </w:r>
    </w:p>
    <w:p w14:paraId="7AF355F9" w14:textId="77777777" w:rsidR="00BE21D5" w:rsidRDefault="00BE21D5" w:rsidP="005C4248">
      <w:pPr>
        <w:textAlignment w:val="baseline"/>
        <w:rPr>
          <w:rFonts w:ascii="Aptos" w:hAnsi="Aptos" w:cs="Segoe UI"/>
          <w:b/>
          <w:bCs/>
          <w:color w:val="auto"/>
          <w:szCs w:val="24"/>
        </w:rPr>
      </w:pPr>
    </w:p>
    <w:p w14:paraId="7854E61B" w14:textId="6F71C72F"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Are there things you wish patients understood better about injections—common concerns or misconceptions? </w:t>
      </w:r>
    </w:p>
    <w:p w14:paraId="0E77EE02" w14:textId="77777777" w:rsidR="00BE21D5" w:rsidRDefault="00BE21D5" w:rsidP="005C4248">
      <w:pPr>
        <w:textAlignment w:val="baseline"/>
        <w:rPr>
          <w:rFonts w:ascii="Aptos" w:hAnsi="Aptos" w:cs="Segoe UI"/>
          <w:b/>
          <w:bCs/>
          <w:color w:val="auto"/>
          <w:szCs w:val="24"/>
        </w:rPr>
      </w:pPr>
    </w:p>
    <w:p w14:paraId="6C0C919E" w14:textId="6436340E"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The biggest concern is the idea of a needle in the eye. I understand that fear. But this is something we do every day. If you’re going to a clinic where injections are done routinely, you’re in good hands. </w:t>
      </w:r>
    </w:p>
    <w:p w14:paraId="2D473ED7" w14:textId="77777777" w:rsidR="00BE21D5" w:rsidRDefault="00BE21D5" w:rsidP="005C4248">
      <w:pPr>
        <w:textAlignment w:val="baseline"/>
        <w:rPr>
          <w:rFonts w:ascii="Aptos" w:hAnsi="Aptos" w:cs="Segoe UI"/>
          <w:color w:val="auto"/>
          <w:szCs w:val="24"/>
        </w:rPr>
      </w:pPr>
    </w:p>
    <w:p w14:paraId="393B4552" w14:textId="779514AE"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Pain is another common concern. You should expect some discomfort, but we have multiple ways to reduce pain. We use anesthetic drops, and at the Toronto Retina Institute we also use a secondary “freezing” injection under the surface layer of the eye. Most patients find the injections are not as painful as they expected. </w:t>
      </w:r>
    </w:p>
    <w:p w14:paraId="5423AC47" w14:textId="77777777" w:rsidR="00BE21D5" w:rsidRDefault="00BE21D5" w:rsidP="005C4248">
      <w:pPr>
        <w:textAlignment w:val="baseline"/>
        <w:rPr>
          <w:rFonts w:ascii="Aptos" w:hAnsi="Aptos" w:cs="Segoe UI"/>
          <w:color w:val="auto"/>
          <w:szCs w:val="24"/>
        </w:rPr>
      </w:pPr>
    </w:p>
    <w:p w14:paraId="31DF3C6C" w14:textId="29F26BF0"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 other key point is that this is usually </w:t>
      </w:r>
      <w:r w:rsidRPr="005C4248">
        <w:rPr>
          <w:rFonts w:ascii="Aptos" w:hAnsi="Aptos" w:cs="Segoe UI"/>
          <w:b/>
          <w:bCs/>
          <w:color w:val="auto"/>
          <w:szCs w:val="24"/>
        </w:rPr>
        <w:t>ongoing therapy</w:t>
      </w:r>
      <w:r w:rsidRPr="005C4248">
        <w:rPr>
          <w:rFonts w:ascii="Aptos" w:hAnsi="Aptos" w:cs="Segoe UI"/>
          <w:color w:val="auto"/>
          <w:szCs w:val="24"/>
        </w:rPr>
        <w:t>. A way I explain it is like pain medication: it works for a period of time, then wears off. Similarly, the anti-VEGF drug wears off over time, and if you wait too long, the blood vessel activity can return, leading to bleeding and scarring that can permanently damage vision. The goal is to treat before that happens. </w:t>
      </w:r>
    </w:p>
    <w:p w14:paraId="5C1DC8B5"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7DA9C0E9" w14:textId="77777777" w:rsidR="005C4248" w:rsidRPr="005C4248" w:rsidRDefault="005C4248" w:rsidP="6FD37E38">
      <w:pPr>
        <w:pStyle w:val="Heading2"/>
        <w:rPr>
          <w:rFonts w:ascii="Segoe UI" w:hAnsi="Segoe UI"/>
          <w:sz w:val="18"/>
          <w:szCs w:val="18"/>
        </w:rPr>
      </w:pPr>
      <w:r>
        <w:t>Research Priorities: What Are We Trying to Solve? </w:t>
      </w:r>
    </w:p>
    <w:p w14:paraId="0E42A4D6" w14:textId="77777777" w:rsidR="00BE21D5" w:rsidRDefault="00BE21D5" w:rsidP="005C4248">
      <w:pPr>
        <w:textAlignment w:val="baseline"/>
        <w:rPr>
          <w:rFonts w:ascii="Aptos" w:hAnsi="Aptos" w:cs="Segoe UI"/>
          <w:b/>
          <w:bCs/>
          <w:color w:val="auto"/>
          <w:szCs w:val="24"/>
        </w:rPr>
      </w:pPr>
    </w:p>
    <w:p w14:paraId="745A9FD4" w14:textId="214279AD"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We know wet AMD has effective treatments, but there’s still a major treatment burden. And for dry AMD, in Canada there aren’t treatments beyond vitamins. What do you see as the most important research questions right now—for dry and wet AMD? </w:t>
      </w:r>
    </w:p>
    <w:p w14:paraId="6336B168" w14:textId="77777777" w:rsidR="00BE21D5" w:rsidRDefault="00BE21D5" w:rsidP="005C4248">
      <w:pPr>
        <w:textAlignment w:val="baseline"/>
        <w:rPr>
          <w:rFonts w:ascii="Aptos" w:hAnsi="Aptos" w:cs="Segoe UI"/>
          <w:b/>
          <w:bCs/>
          <w:color w:val="auto"/>
          <w:szCs w:val="24"/>
        </w:rPr>
      </w:pPr>
    </w:p>
    <w:p w14:paraId="53B28B84" w14:textId="2DBA680E"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Let’s start with </w:t>
      </w:r>
      <w:r w:rsidRPr="005C4248">
        <w:rPr>
          <w:rFonts w:ascii="Aptos" w:hAnsi="Aptos" w:cs="Segoe UI"/>
          <w:b/>
          <w:bCs/>
          <w:color w:val="auto"/>
          <w:szCs w:val="24"/>
        </w:rPr>
        <w:t>dry AMD</w:t>
      </w:r>
      <w:r w:rsidRPr="005C4248">
        <w:rPr>
          <w:rFonts w:ascii="Aptos" w:hAnsi="Aptos" w:cs="Segoe UI"/>
          <w:color w:val="auto"/>
          <w:szCs w:val="24"/>
        </w:rPr>
        <w:t>. There’s a lot of energy coming into this space right now. While we don’t have enough yet, there are many therapies being evaluated. I want to share a message of hope: there are more potential treatments under investigation than ever. </w:t>
      </w:r>
    </w:p>
    <w:p w14:paraId="06B2C1D8" w14:textId="77777777" w:rsidR="00BE21D5" w:rsidRDefault="00BE21D5" w:rsidP="005C4248">
      <w:pPr>
        <w:textAlignment w:val="baseline"/>
        <w:rPr>
          <w:rFonts w:ascii="Aptos" w:hAnsi="Aptos" w:cs="Segoe UI"/>
          <w:color w:val="auto"/>
          <w:szCs w:val="24"/>
        </w:rPr>
      </w:pPr>
    </w:p>
    <w:p w14:paraId="039F1867" w14:textId="4440D832"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 biggest challenge for patients is being told, “This may continue to damage your vision over time, and we don’t have much to stop it.” From a research perspective, we’re asking: </w:t>
      </w:r>
      <w:r w:rsidRPr="005C4248">
        <w:rPr>
          <w:rFonts w:ascii="Aptos" w:hAnsi="Aptos" w:cs="Segoe UI"/>
          <w:b/>
          <w:bCs/>
          <w:color w:val="auto"/>
          <w:szCs w:val="24"/>
        </w:rPr>
        <w:t>How do we slow this disease down?</w:t>
      </w:r>
      <w:r w:rsidRPr="005C4248">
        <w:rPr>
          <w:rFonts w:ascii="Aptos" w:hAnsi="Aptos" w:cs="Segoe UI"/>
          <w:color w:val="auto"/>
          <w:szCs w:val="24"/>
        </w:rPr>
        <w:t> What can we inject, treat, or provide to buy time and preserve vision? </w:t>
      </w:r>
    </w:p>
    <w:p w14:paraId="678D6D52" w14:textId="77777777" w:rsidR="00BE21D5" w:rsidRDefault="00BE21D5" w:rsidP="005C4248">
      <w:pPr>
        <w:textAlignment w:val="baseline"/>
        <w:rPr>
          <w:rFonts w:ascii="Aptos" w:hAnsi="Aptos" w:cs="Segoe UI"/>
          <w:color w:val="auto"/>
          <w:szCs w:val="24"/>
        </w:rPr>
      </w:pPr>
    </w:p>
    <w:p w14:paraId="0977EBE8" w14:textId="12C3407B"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patients who already have vision loss from geographic atrophy, the second big question is: </w:t>
      </w:r>
      <w:r w:rsidRPr="005C4248">
        <w:rPr>
          <w:rFonts w:ascii="Aptos" w:hAnsi="Aptos" w:cs="Segoe UI"/>
          <w:b/>
          <w:bCs/>
          <w:color w:val="auto"/>
          <w:szCs w:val="24"/>
        </w:rPr>
        <w:t>Can we restore vision or replace lost cells?</w:t>
      </w:r>
      <w:r w:rsidRPr="005C4248">
        <w:rPr>
          <w:rFonts w:ascii="Aptos" w:hAnsi="Aptos" w:cs="Segoe UI"/>
          <w:color w:val="auto"/>
          <w:szCs w:val="24"/>
        </w:rPr>
        <w:t> There is progress on both fronts, and those therapies are moving through the phases of development. </w:t>
      </w:r>
    </w:p>
    <w:p w14:paraId="3DE185C6" w14:textId="77777777" w:rsidR="00BE21D5" w:rsidRDefault="00BE21D5" w:rsidP="005C4248">
      <w:pPr>
        <w:textAlignment w:val="baseline"/>
        <w:rPr>
          <w:rFonts w:ascii="Aptos" w:hAnsi="Aptos" w:cs="Segoe UI"/>
          <w:color w:val="auto"/>
          <w:szCs w:val="24"/>
        </w:rPr>
      </w:pPr>
    </w:p>
    <w:p w14:paraId="58A1D781" w14:textId="37A7DD4C"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On the </w:t>
      </w:r>
      <w:r w:rsidRPr="005C4248">
        <w:rPr>
          <w:rFonts w:ascii="Aptos" w:hAnsi="Aptos" w:cs="Segoe UI"/>
          <w:b/>
          <w:bCs/>
          <w:color w:val="auto"/>
          <w:szCs w:val="24"/>
        </w:rPr>
        <w:t>wet AMD</w:t>
      </w:r>
      <w:r w:rsidRPr="005C4248">
        <w:rPr>
          <w:rFonts w:ascii="Aptos" w:hAnsi="Aptos" w:cs="Segoe UI"/>
          <w:color w:val="auto"/>
          <w:szCs w:val="24"/>
        </w:rPr>
        <w:t> side, the central research question is reducing </w:t>
      </w:r>
      <w:r w:rsidRPr="005C4248">
        <w:rPr>
          <w:rFonts w:ascii="Aptos" w:hAnsi="Aptos" w:cs="Segoe UI"/>
          <w:b/>
          <w:bCs/>
          <w:color w:val="auto"/>
          <w:szCs w:val="24"/>
        </w:rPr>
        <w:t>treatment burden</w:t>
      </w:r>
      <w:r w:rsidRPr="005C4248">
        <w:rPr>
          <w:rFonts w:ascii="Aptos" w:hAnsi="Aptos" w:cs="Segoe UI"/>
          <w:color w:val="auto"/>
          <w:szCs w:val="24"/>
        </w:rPr>
        <w:t>. This affects patients and caregivers. Many people need someone to drive them in; it often impacts adult children who miss work and lose income. There’s also a broader economic impact. </w:t>
      </w:r>
    </w:p>
    <w:p w14:paraId="1A7D4B27" w14:textId="77777777" w:rsidR="00BE21D5" w:rsidRDefault="00BE21D5" w:rsidP="005C4248">
      <w:pPr>
        <w:textAlignment w:val="baseline"/>
        <w:rPr>
          <w:rFonts w:ascii="Aptos" w:hAnsi="Aptos" w:cs="Segoe UI"/>
          <w:color w:val="auto"/>
          <w:szCs w:val="24"/>
        </w:rPr>
      </w:pPr>
    </w:p>
    <w:p w14:paraId="53D560DB" w14:textId="0FD5DC9E"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If we can develop longer-lasting treatments—without calling it a cure—something that lasts much longer between visits could significantly help patients, families, and the healthcare system. </w:t>
      </w:r>
    </w:p>
    <w:p w14:paraId="3BF1881A"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3BFF1F6B" w14:textId="77777777" w:rsidR="005C4248" w:rsidRPr="005C4248" w:rsidRDefault="005C4248" w:rsidP="6FD37E38">
      <w:pPr>
        <w:pStyle w:val="Heading2"/>
        <w:rPr>
          <w:rFonts w:ascii="Segoe UI" w:hAnsi="Segoe UI"/>
          <w:sz w:val="18"/>
          <w:szCs w:val="18"/>
        </w:rPr>
      </w:pPr>
      <w:r>
        <w:t>Why Has Geographic Atrophy Been Hard to Treat? </w:t>
      </w:r>
    </w:p>
    <w:p w14:paraId="76C3C543" w14:textId="77777777" w:rsidR="00BE21D5" w:rsidRDefault="00BE21D5" w:rsidP="005C4248">
      <w:pPr>
        <w:textAlignment w:val="baseline"/>
        <w:rPr>
          <w:rFonts w:ascii="Aptos" w:hAnsi="Aptos" w:cs="Segoe UI"/>
          <w:b/>
          <w:bCs/>
          <w:color w:val="auto"/>
          <w:szCs w:val="24"/>
        </w:rPr>
      </w:pPr>
    </w:p>
    <w:p w14:paraId="45651AC5" w14:textId="53B8E205"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Why has it been so hard to develop treatments for geographic atrophy? Is it the biology, or the slow progression making it hard to prove a therapy works? </w:t>
      </w:r>
    </w:p>
    <w:p w14:paraId="1E1AD82A" w14:textId="77777777" w:rsidR="00BE21D5" w:rsidRDefault="00BE21D5" w:rsidP="005C4248">
      <w:pPr>
        <w:textAlignment w:val="baseline"/>
        <w:rPr>
          <w:rFonts w:ascii="Aptos" w:hAnsi="Aptos" w:cs="Segoe UI"/>
          <w:b/>
          <w:bCs/>
          <w:color w:val="auto"/>
          <w:szCs w:val="24"/>
        </w:rPr>
      </w:pPr>
    </w:p>
    <w:p w14:paraId="52C0DBAB" w14:textId="4F738750"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A lot comes down to what we do and don’t understand. In medicine, the more you learn, the more you realize how much you don’t know. </w:t>
      </w:r>
    </w:p>
    <w:p w14:paraId="4BB822B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We know the disease is </w:t>
      </w:r>
      <w:r w:rsidRPr="005C4248">
        <w:rPr>
          <w:rFonts w:ascii="Aptos" w:hAnsi="Aptos" w:cs="Segoe UI"/>
          <w:b/>
          <w:bCs/>
          <w:color w:val="auto"/>
          <w:szCs w:val="24"/>
        </w:rPr>
        <w:t>multifactorial</w:t>
      </w:r>
      <w:r w:rsidRPr="005C4248">
        <w:rPr>
          <w:rFonts w:ascii="Aptos" w:hAnsi="Aptos" w:cs="Segoe UI"/>
          <w:color w:val="auto"/>
          <w:szCs w:val="24"/>
        </w:rPr>
        <w:t>: genetics, diet, inflammation, smoking, and likely other factors we haven’t fully identified. It’s not a simple cause-and-effect relationship, and that makes it hard to target. </w:t>
      </w:r>
    </w:p>
    <w:p w14:paraId="604EB075" w14:textId="77777777" w:rsidR="00BE21D5" w:rsidRDefault="00BE21D5" w:rsidP="005C4248">
      <w:pPr>
        <w:textAlignment w:val="baseline"/>
        <w:rPr>
          <w:rFonts w:ascii="Aptos" w:hAnsi="Aptos" w:cs="Segoe UI"/>
          <w:color w:val="auto"/>
          <w:szCs w:val="24"/>
        </w:rPr>
      </w:pPr>
    </w:p>
    <w:p w14:paraId="72196A8C" w14:textId="06E37D68"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That said, there’s meaningful work in inflammatory pathways. There is an injectable treatment currently available in the U.S. that targets parts of the inflammatory pathway to slow progression. It hasn’t reached Canada yet. </w:t>
      </w:r>
    </w:p>
    <w:p w14:paraId="7FDD4F51" w14:textId="77777777" w:rsidR="00BE21D5" w:rsidRDefault="00BE21D5" w:rsidP="005C4248">
      <w:pPr>
        <w:textAlignment w:val="baseline"/>
        <w:rPr>
          <w:rFonts w:ascii="Aptos" w:hAnsi="Aptos" w:cs="Segoe UI"/>
          <w:b/>
          <w:bCs/>
          <w:color w:val="auto"/>
          <w:szCs w:val="24"/>
        </w:rPr>
      </w:pPr>
    </w:p>
    <w:p w14:paraId="54197E69" w14:textId="45D462C1"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One of those treatments is being reviewed by Health Canada. FBC has gathered community perspectives and shared them with regulators to explain why we believe these treatments are important. We’re hopeful, but the goal is always safe and effective treatments. We’ll keep everyone updated as the process continues. </w:t>
      </w:r>
    </w:p>
    <w:p w14:paraId="71135E3B"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0F12E058" w14:textId="77777777" w:rsidR="005C4248" w:rsidRPr="005C4248" w:rsidRDefault="005C4248" w:rsidP="6FD37E38">
      <w:pPr>
        <w:pStyle w:val="Heading2"/>
        <w:rPr>
          <w:rFonts w:ascii="Segoe UI" w:hAnsi="Segoe UI"/>
          <w:sz w:val="18"/>
          <w:szCs w:val="18"/>
        </w:rPr>
      </w:pPr>
      <w:r>
        <w:t>Clinical Trials: How They Work and What Patients Should Know </w:t>
      </w:r>
    </w:p>
    <w:p w14:paraId="647833B9" w14:textId="77777777" w:rsidR="00BE21D5" w:rsidRDefault="00BE21D5" w:rsidP="005C4248">
      <w:pPr>
        <w:textAlignment w:val="baseline"/>
        <w:rPr>
          <w:rFonts w:ascii="Aptos" w:hAnsi="Aptos" w:cs="Segoe UI"/>
          <w:b/>
          <w:bCs/>
          <w:color w:val="auto"/>
          <w:szCs w:val="24"/>
        </w:rPr>
      </w:pPr>
    </w:p>
    <w:p w14:paraId="62353A74" w14:textId="6838C205"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You’re involved in multiple clinical trials. When deciding to participate in a trial, what are you looking for? And what should patients know about clinical trials? </w:t>
      </w:r>
    </w:p>
    <w:p w14:paraId="2EB00CFC" w14:textId="77777777" w:rsidR="00BE21D5" w:rsidRDefault="00BE21D5" w:rsidP="005C4248">
      <w:pPr>
        <w:textAlignment w:val="baseline"/>
        <w:rPr>
          <w:rFonts w:ascii="Aptos" w:hAnsi="Aptos" w:cs="Segoe UI"/>
          <w:b/>
          <w:bCs/>
          <w:color w:val="auto"/>
          <w:szCs w:val="24"/>
        </w:rPr>
      </w:pPr>
    </w:p>
    <w:p w14:paraId="2F104D9B" w14:textId="72652E59"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Clinical trials are essential to close treatment gaps. Every therapy people rely on today—from eye injections to blood pressure medications—went through this process. </w:t>
      </w:r>
    </w:p>
    <w:p w14:paraId="4784EFCA" w14:textId="79F6866A" w:rsidR="6FD37E38" w:rsidRDefault="6FD37E38" w:rsidP="6FD37E38">
      <w:pPr>
        <w:rPr>
          <w:rFonts w:ascii="Aptos" w:hAnsi="Aptos" w:cs="Segoe UI"/>
          <w:color w:val="auto"/>
        </w:rPr>
      </w:pPr>
    </w:p>
    <w:p w14:paraId="1F7E0881"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Trials can sound “experimental,” but there’s a structured pathway. These treatments are typically tested multiple times before they reach human trials. </w:t>
      </w:r>
    </w:p>
    <w:p w14:paraId="4C9EF6C9" w14:textId="36778ED0" w:rsidR="6FD37E38" w:rsidRDefault="6FD37E38" w:rsidP="6FD37E38">
      <w:pPr>
        <w:rPr>
          <w:rFonts w:ascii="Aptos" w:hAnsi="Aptos" w:cs="Segoe UI"/>
          <w:color w:val="auto"/>
        </w:rPr>
      </w:pPr>
    </w:p>
    <w:p w14:paraId="4119047F"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In Canada, we often participate in later phases. Broadly: </w:t>
      </w:r>
    </w:p>
    <w:p w14:paraId="77CE487C" w14:textId="77777777" w:rsidR="005C4248" w:rsidRPr="005C4248" w:rsidRDefault="005C4248" w:rsidP="6FD37E38">
      <w:pPr>
        <w:pStyle w:val="ListParagraph"/>
        <w:numPr>
          <w:ilvl w:val="0"/>
          <w:numId w:val="3"/>
        </w:numPr>
        <w:textAlignment w:val="baseline"/>
        <w:rPr>
          <w:rFonts w:ascii="Aptos" w:hAnsi="Aptos" w:cs="Segoe UI"/>
          <w:color w:val="auto"/>
        </w:rPr>
      </w:pPr>
      <w:r w:rsidRPr="6FD37E38">
        <w:rPr>
          <w:rFonts w:ascii="Aptos" w:hAnsi="Aptos" w:cs="Segoe UI"/>
          <w:b/>
          <w:bCs/>
          <w:color w:val="auto"/>
        </w:rPr>
        <w:t>Phase 1</w:t>
      </w:r>
      <w:r w:rsidRPr="6FD37E38">
        <w:rPr>
          <w:rFonts w:ascii="Aptos" w:hAnsi="Aptos" w:cs="Segoe UI"/>
          <w:color w:val="auto"/>
        </w:rPr>
        <w:t>: First-in-human, focuses on safety (small numbers). </w:t>
      </w:r>
    </w:p>
    <w:p w14:paraId="3FBFC0C5" w14:textId="77777777" w:rsidR="005C4248" w:rsidRPr="005C4248" w:rsidRDefault="005C4248" w:rsidP="6FD37E38">
      <w:pPr>
        <w:pStyle w:val="ListParagraph"/>
        <w:numPr>
          <w:ilvl w:val="0"/>
          <w:numId w:val="3"/>
        </w:numPr>
        <w:textAlignment w:val="baseline"/>
        <w:rPr>
          <w:rFonts w:ascii="Aptos" w:hAnsi="Aptos" w:cs="Segoe UI"/>
          <w:color w:val="auto"/>
        </w:rPr>
      </w:pPr>
      <w:r w:rsidRPr="6FD37E38">
        <w:rPr>
          <w:rFonts w:ascii="Aptos" w:hAnsi="Aptos" w:cs="Segoe UI"/>
          <w:b/>
          <w:bCs/>
          <w:color w:val="auto"/>
        </w:rPr>
        <w:t>Phase 2</w:t>
      </w:r>
      <w:r w:rsidRPr="6FD37E38">
        <w:rPr>
          <w:rFonts w:ascii="Aptos" w:hAnsi="Aptos" w:cs="Segoe UI"/>
          <w:color w:val="auto"/>
        </w:rPr>
        <w:t>: Safety plus dosing—finding the right dose for effect with minimal drug. </w:t>
      </w:r>
    </w:p>
    <w:p w14:paraId="3A532BFE" w14:textId="77777777" w:rsidR="005C4248" w:rsidRPr="005C4248" w:rsidRDefault="005C4248" w:rsidP="6FD37E38">
      <w:pPr>
        <w:pStyle w:val="ListParagraph"/>
        <w:numPr>
          <w:ilvl w:val="0"/>
          <w:numId w:val="3"/>
        </w:numPr>
        <w:textAlignment w:val="baseline"/>
        <w:rPr>
          <w:rFonts w:ascii="Aptos" w:hAnsi="Aptos" w:cs="Segoe UI"/>
          <w:color w:val="auto"/>
        </w:rPr>
      </w:pPr>
      <w:r w:rsidRPr="6FD37E38">
        <w:rPr>
          <w:rFonts w:ascii="Aptos" w:hAnsi="Aptos" w:cs="Segoe UI"/>
          <w:b/>
          <w:bCs/>
          <w:color w:val="auto"/>
        </w:rPr>
        <w:t>Phase 3</w:t>
      </w:r>
      <w:r w:rsidRPr="6FD37E38">
        <w:rPr>
          <w:rFonts w:ascii="Aptos" w:hAnsi="Aptos" w:cs="Segoe UI"/>
          <w:color w:val="auto"/>
        </w:rPr>
        <w:t>: Large global studies used for approvals (FDA, Health Canada, EMA, etc.). </w:t>
      </w:r>
    </w:p>
    <w:p w14:paraId="23CB94BA" w14:textId="77777777" w:rsidR="005C4248" w:rsidRPr="005C4248" w:rsidRDefault="005C4248" w:rsidP="6FD37E38">
      <w:pPr>
        <w:pStyle w:val="ListParagraph"/>
        <w:numPr>
          <w:ilvl w:val="0"/>
          <w:numId w:val="3"/>
        </w:numPr>
        <w:textAlignment w:val="baseline"/>
        <w:rPr>
          <w:rFonts w:ascii="Aptos" w:hAnsi="Aptos" w:cs="Segoe UI"/>
          <w:color w:val="auto"/>
        </w:rPr>
      </w:pPr>
      <w:r w:rsidRPr="6FD37E38">
        <w:rPr>
          <w:rFonts w:ascii="Aptos" w:hAnsi="Aptos" w:cs="Segoe UI"/>
          <w:b/>
          <w:bCs/>
          <w:color w:val="auto"/>
        </w:rPr>
        <w:t>Phase 4</w:t>
      </w:r>
      <w:r w:rsidRPr="6FD37E38">
        <w:rPr>
          <w:rFonts w:ascii="Aptos" w:hAnsi="Aptos" w:cs="Segoe UI"/>
          <w:color w:val="auto"/>
        </w:rPr>
        <w:t>: After approval, studying real-world outcomes, benefits, and unexpected issues. </w:t>
      </w:r>
    </w:p>
    <w:p w14:paraId="0E3175D2" w14:textId="5A3651CD" w:rsidR="6FD37E38" w:rsidRDefault="6FD37E38" w:rsidP="6FD37E38">
      <w:pPr>
        <w:rPr>
          <w:rFonts w:ascii="Aptos" w:hAnsi="Aptos" w:cs="Segoe UI"/>
          <w:color w:val="auto"/>
        </w:rPr>
      </w:pPr>
    </w:p>
    <w:p w14:paraId="54157B2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If you’re considering trials, it helps to know what phase the study is in and what level of risk you’re comfortable with. </w:t>
      </w:r>
    </w:p>
    <w:p w14:paraId="5722BAB2"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6A612098" w14:textId="77777777" w:rsidR="005C4248" w:rsidRPr="005C4248" w:rsidRDefault="005C4248" w:rsidP="6FD37E38">
      <w:pPr>
        <w:pStyle w:val="Heading2"/>
        <w:rPr>
          <w:rFonts w:ascii="Segoe UI" w:hAnsi="Segoe UI"/>
          <w:sz w:val="18"/>
          <w:szCs w:val="18"/>
        </w:rPr>
      </w:pPr>
      <w:r>
        <w:t>Why Do Approvals Take Longer in Canada? </w:t>
      </w:r>
    </w:p>
    <w:p w14:paraId="142FE4A8" w14:textId="77777777" w:rsidR="00BE21D5" w:rsidRDefault="00BE21D5" w:rsidP="005C4248">
      <w:pPr>
        <w:textAlignment w:val="baseline"/>
        <w:rPr>
          <w:rFonts w:ascii="Aptos" w:hAnsi="Aptos" w:cs="Segoe UI"/>
          <w:b/>
          <w:bCs/>
          <w:color w:val="auto"/>
          <w:szCs w:val="24"/>
        </w:rPr>
      </w:pPr>
    </w:p>
    <w:p w14:paraId="2B2C5092" w14:textId="32EEF4BE"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Larissa Moniz:</w:t>
      </w:r>
      <w:r w:rsidRPr="6FD37E38">
        <w:rPr>
          <w:rFonts w:ascii="Aptos" w:hAnsi="Aptos" w:cs="Segoe UI"/>
          <w:color w:val="auto"/>
        </w:rPr>
        <w:t> I see questions in the chat about approvals in Canada and why they take longer. I’ll start, and then Dr. Aboobaker can add. </w:t>
      </w:r>
    </w:p>
    <w:p w14:paraId="5CA77888" w14:textId="1B8CD66F" w:rsidR="6FD37E38" w:rsidRDefault="6FD37E38" w:rsidP="6FD37E38">
      <w:pPr>
        <w:rPr>
          <w:rFonts w:ascii="Aptos" w:hAnsi="Aptos" w:cs="Segoe UI"/>
          <w:color w:val="auto"/>
        </w:rPr>
      </w:pPr>
    </w:p>
    <w:p w14:paraId="5E1BB35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Drug companies often prioritize the largest markets first, where approvals may lead to the biggest returns. Typically, they apply first in the </w:t>
      </w:r>
      <w:r w:rsidRPr="005C4248">
        <w:rPr>
          <w:rFonts w:ascii="Aptos" w:hAnsi="Aptos" w:cs="Segoe UI"/>
          <w:b/>
          <w:bCs/>
          <w:color w:val="auto"/>
          <w:szCs w:val="24"/>
        </w:rPr>
        <w:t>United States (FDA)</w:t>
      </w:r>
      <w:r w:rsidRPr="005C4248">
        <w:rPr>
          <w:rFonts w:ascii="Aptos" w:hAnsi="Aptos" w:cs="Segoe UI"/>
          <w:color w:val="auto"/>
          <w:szCs w:val="24"/>
        </w:rPr>
        <w:t>, then often the </w:t>
      </w:r>
      <w:r w:rsidRPr="005C4248">
        <w:rPr>
          <w:rFonts w:ascii="Aptos" w:hAnsi="Aptos" w:cs="Segoe UI"/>
          <w:b/>
          <w:bCs/>
          <w:color w:val="auto"/>
          <w:szCs w:val="24"/>
        </w:rPr>
        <w:t>European Medicines Agency (EMA)</w:t>
      </w:r>
      <w:r w:rsidRPr="005C4248">
        <w:rPr>
          <w:rFonts w:ascii="Aptos" w:hAnsi="Aptos" w:cs="Segoe UI"/>
          <w:color w:val="auto"/>
          <w:szCs w:val="24"/>
        </w:rPr>
        <w:t>, and then countries like Canada. Population size plays a role. </w:t>
      </w:r>
    </w:p>
    <w:p w14:paraId="6BCB05F6" w14:textId="77777777" w:rsidR="00BE21D5" w:rsidRDefault="00BE21D5" w:rsidP="005C4248">
      <w:pPr>
        <w:textAlignment w:val="baseline"/>
        <w:rPr>
          <w:rFonts w:ascii="Aptos" w:hAnsi="Aptos" w:cs="Segoe UI"/>
          <w:color w:val="auto"/>
          <w:szCs w:val="24"/>
        </w:rPr>
      </w:pPr>
    </w:p>
    <w:p w14:paraId="67BC5404" w14:textId="0C63CD63"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Canada is also working on improving the process by collaborating with other regulatory agencies so each country isn’t duplicating a full review of the same data. </w:t>
      </w:r>
    </w:p>
    <w:p w14:paraId="1F435589" w14:textId="77777777" w:rsidR="00BE21D5" w:rsidRDefault="00BE21D5" w:rsidP="005C4248">
      <w:pPr>
        <w:textAlignment w:val="baseline"/>
        <w:rPr>
          <w:rFonts w:ascii="Aptos" w:hAnsi="Aptos" w:cs="Segoe UI"/>
          <w:b/>
          <w:bCs/>
          <w:color w:val="auto"/>
          <w:szCs w:val="24"/>
        </w:rPr>
      </w:pPr>
    </w:p>
    <w:p w14:paraId="3EF012DE" w14:textId="66B094A4"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I agree. It’s a difficult balance. Companies invest millions to develop drugs, and only a small percentage make it to market. It’s easy to view pharma negatively, but they also drive progress. </w:t>
      </w:r>
    </w:p>
    <w:p w14:paraId="33AF06A4" w14:textId="64FF6132" w:rsidR="6FD37E38" w:rsidRDefault="6FD37E38" w:rsidP="6FD37E38">
      <w:pPr>
        <w:rPr>
          <w:rFonts w:ascii="Aptos" w:hAnsi="Aptos" w:cs="Segoe UI"/>
          <w:color w:val="auto"/>
        </w:rPr>
      </w:pPr>
    </w:p>
    <w:p w14:paraId="1B109A54"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 are pros and cons to being later in the rollout. We may get treatments later, but we sometimes learn about safety issues that emerge early elsewhere. That can protect patients here. </w:t>
      </w:r>
    </w:p>
    <w:p w14:paraId="66FD4D86"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1E93F2AF" w14:textId="77777777" w:rsidR="005C4248" w:rsidRPr="005C4248" w:rsidRDefault="005C4248" w:rsidP="6FD37E38">
      <w:pPr>
        <w:pStyle w:val="Heading2"/>
        <w:rPr>
          <w:rFonts w:ascii="Segoe UI" w:hAnsi="Segoe UI"/>
          <w:sz w:val="18"/>
          <w:szCs w:val="18"/>
        </w:rPr>
      </w:pPr>
      <w:r>
        <w:t>What Outcomes Do Trials Measure? </w:t>
      </w:r>
    </w:p>
    <w:p w14:paraId="14CA13C8" w14:textId="77777777" w:rsidR="00BE21D5" w:rsidRDefault="00BE21D5" w:rsidP="005C4248">
      <w:pPr>
        <w:textAlignment w:val="baseline"/>
        <w:rPr>
          <w:rFonts w:ascii="Aptos" w:hAnsi="Aptos" w:cs="Segoe UI"/>
          <w:b/>
          <w:bCs/>
          <w:color w:val="auto"/>
          <w:szCs w:val="24"/>
        </w:rPr>
      </w:pPr>
    </w:p>
    <w:p w14:paraId="2CD1F7B8" w14:textId="65F8CC7F"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How do researchers determine if a treatment is working? Is it mostly visual acuity, or are other measures important? </w:t>
      </w:r>
    </w:p>
    <w:p w14:paraId="137AB830" w14:textId="77777777" w:rsidR="00BE21D5" w:rsidRDefault="00BE21D5" w:rsidP="005C4248">
      <w:pPr>
        <w:textAlignment w:val="baseline"/>
        <w:rPr>
          <w:rFonts w:ascii="Aptos" w:hAnsi="Aptos" w:cs="Segoe UI"/>
          <w:b/>
          <w:bCs/>
          <w:color w:val="auto"/>
          <w:szCs w:val="24"/>
        </w:rPr>
      </w:pPr>
    </w:p>
    <w:p w14:paraId="0E192703" w14:textId="75352934"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Historically, visual acuity has been the main outcome, and we’ve been fortunate that some treatments improve vision. </w:t>
      </w:r>
    </w:p>
    <w:p w14:paraId="2A61B844" w14:textId="5EF4DD1D" w:rsidR="6FD37E38" w:rsidRDefault="6FD37E38" w:rsidP="6FD37E38">
      <w:pPr>
        <w:rPr>
          <w:rFonts w:ascii="Aptos" w:hAnsi="Aptos" w:cs="Segoe UI"/>
          <w:color w:val="auto"/>
        </w:rPr>
      </w:pPr>
    </w:p>
    <w:p w14:paraId="75FA5768"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Dry AMD is different. Early dry AMD may have relatively good vision, so there isn’t much room to “improve” acuity. If a therapy slows progression, we also need </w:t>
      </w:r>
      <w:r w:rsidRPr="005C4248">
        <w:rPr>
          <w:rFonts w:ascii="Aptos" w:hAnsi="Aptos" w:cs="Segoe UI"/>
          <w:b/>
          <w:bCs/>
          <w:color w:val="auto"/>
          <w:szCs w:val="24"/>
        </w:rPr>
        <w:t>structural/anatomical measures</w:t>
      </w:r>
      <w:r w:rsidRPr="005C4248">
        <w:rPr>
          <w:rFonts w:ascii="Aptos" w:hAnsi="Aptos" w:cs="Segoe UI"/>
          <w:color w:val="auto"/>
          <w:szCs w:val="24"/>
        </w:rPr>
        <w:t>, like: </w:t>
      </w:r>
    </w:p>
    <w:p w14:paraId="1FF82F43" w14:textId="77777777" w:rsidR="005C4248" w:rsidRPr="005C4248" w:rsidRDefault="005C4248" w:rsidP="003A0F72">
      <w:pPr>
        <w:numPr>
          <w:ilvl w:val="0"/>
          <w:numId w:val="8"/>
        </w:numPr>
        <w:ind w:left="1080" w:firstLine="0"/>
        <w:textAlignment w:val="baseline"/>
        <w:rPr>
          <w:rFonts w:ascii="Aptos" w:hAnsi="Aptos" w:cs="Segoe UI"/>
          <w:color w:val="auto"/>
          <w:szCs w:val="24"/>
        </w:rPr>
      </w:pPr>
      <w:r w:rsidRPr="005C4248">
        <w:rPr>
          <w:rFonts w:ascii="Aptos" w:hAnsi="Aptos" w:cs="Segoe UI"/>
          <w:color w:val="auto"/>
          <w:szCs w:val="24"/>
        </w:rPr>
        <w:t>Growth rate of </w:t>
      </w:r>
      <w:r w:rsidRPr="005C4248">
        <w:rPr>
          <w:rFonts w:ascii="Aptos" w:hAnsi="Aptos" w:cs="Segoe UI"/>
          <w:b/>
          <w:bCs/>
          <w:color w:val="auto"/>
          <w:szCs w:val="24"/>
        </w:rPr>
        <w:t>geographic atrophy</w:t>
      </w:r>
      <w:r w:rsidRPr="005C4248">
        <w:rPr>
          <w:rFonts w:ascii="Aptos" w:hAnsi="Aptos" w:cs="Segoe UI"/>
          <w:color w:val="auto"/>
          <w:szCs w:val="24"/>
        </w:rPr>
        <w:t> </w:t>
      </w:r>
    </w:p>
    <w:p w14:paraId="0F39E832" w14:textId="77777777" w:rsidR="005C4248" w:rsidRPr="005C4248" w:rsidRDefault="005C4248" w:rsidP="003A0F72">
      <w:pPr>
        <w:numPr>
          <w:ilvl w:val="0"/>
          <w:numId w:val="9"/>
        </w:numPr>
        <w:ind w:left="1080" w:firstLine="0"/>
        <w:textAlignment w:val="baseline"/>
        <w:rPr>
          <w:rFonts w:ascii="Aptos" w:hAnsi="Aptos" w:cs="Segoe UI"/>
          <w:color w:val="auto"/>
          <w:szCs w:val="24"/>
        </w:rPr>
      </w:pPr>
      <w:r w:rsidRPr="6FD37E38">
        <w:rPr>
          <w:rFonts w:ascii="Aptos" w:hAnsi="Aptos" w:cs="Segoe UI"/>
          <w:color w:val="auto"/>
        </w:rPr>
        <w:t>Changes seen on imaging such as </w:t>
      </w:r>
      <w:r w:rsidRPr="6FD37E38">
        <w:rPr>
          <w:rFonts w:ascii="Aptos" w:hAnsi="Aptos" w:cs="Segoe UI"/>
          <w:b/>
          <w:bCs/>
          <w:color w:val="auto"/>
        </w:rPr>
        <w:t>OCT</w:t>
      </w:r>
      <w:r w:rsidRPr="6FD37E38">
        <w:rPr>
          <w:rFonts w:ascii="Aptos" w:hAnsi="Aptos" w:cs="Segoe UI"/>
          <w:color w:val="auto"/>
        </w:rPr>
        <w:t> (optical coherence tomography), which looks at retinal layers over time </w:t>
      </w:r>
    </w:p>
    <w:p w14:paraId="7D654919" w14:textId="65CF65CB" w:rsidR="6FD37E38" w:rsidRDefault="6FD37E38" w:rsidP="6FD37E38">
      <w:pPr>
        <w:rPr>
          <w:rFonts w:ascii="Aptos" w:hAnsi="Aptos" w:cs="Segoe UI"/>
          <w:color w:val="auto"/>
        </w:rPr>
      </w:pPr>
    </w:p>
    <w:p w14:paraId="3B8D8B40"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Regulators are also adapting, because they’ve historically relied heavily on visual acuity. </w:t>
      </w:r>
    </w:p>
    <w:p w14:paraId="4023DBD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3AB656F2" w14:textId="77777777" w:rsidR="005C4248" w:rsidRPr="005C4248" w:rsidRDefault="005C4248" w:rsidP="6FD37E38">
      <w:pPr>
        <w:pStyle w:val="Heading2"/>
        <w:rPr>
          <w:rFonts w:ascii="Segoe UI" w:hAnsi="Segoe UI" w:cs="Segoe UI"/>
          <w:color w:val="0F4761"/>
          <w:sz w:val="18"/>
          <w:szCs w:val="18"/>
        </w:rPr>
      </w:pPr>
      <w:r>
        <w:t>What Might Patients Expect Soon vs. Later? </w:t>
      </w:r>
    </w:p>
    <w:p w14:paraId="027EE65A" w14:textId="77777777" w:rsidR="00BE21D5" w:rsidRDefault="00BE21D5" w:rsidP="005C4248">
      <w:pPr>
        <w:textAlignment w:val="baseline"/>
        <w:rPr>
          <w:rFonts w:ascii="Aptos" w:hAnsi="Aptos" w:cs="Segoe UI"/>
          <w:b/>
          <w:bCs/>
          <w:color w:val="auto"/>
          <w:szCs w:val="24"/>
        </w:rPr>
      </w:pPr>
    </w:p>
    <w:p w14:paraId="00325B75" w14:textId="2765ABDC"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What can patients realistically expect in the next 2–3 years, and then 5+ years? </w:t>
      </w:r>
    </w:p>
    <w:p w14:paraId="13810E2F" w14:textId="77777777" w:rsidR="00BE21D5" w:rsidRDefault="00BE21D5" w:rsidP="005C4248">
      <w:pPr>
        <w:textAlignment w:val="baseline"/>
        <w:rPr>
          <w:rFonts w:ascii="Aptos" w:hAnsi="Aptos" w:cs="Segoe UI"/>
          <w:b/>
          <w:bCs/>
          <w:color w:val="auto"/>
          <w:szCs w:val="24"/>
        </w:rPr>
      </w:pPr>
    </w:p>
    <w:p w14:paraId="26EB4D4E" w14:textId="5957AC7D"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I’m optimistic. I’ve never seen more treatments under investigation in retina. </w:t>
      </w:r>
    </w:p>
    <w:p w14:paraId="6E3BAE03" w14:textId="251189DD" w:rsidR="6FD37E38" w:rsidRDefault="6FD37E38" w:rsidP="6FD37E38">
      <w:pPr>
        <w:rPr>
          <w:rFonts w:ascii="Aptos" w:hAnsi="Aptos" w:cs="Segoe UI"/>
          <w:color w:val="auto"/>
        </w:rPr>
      </w:pPr>
    </w:p>
    <w:p w14:paraId="2C016CD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w:t>
      </w:r>
      <w:r w:rsidRPr="005C4248">
        <w:rPr>
          <w:rFonts w:ascii="Aptos" w:hAnsi="Aptos" w:cs="Segoe UI"/>
          <w:b/>
          <w:bCs/>
          <w:color w:val="auto"/>
          <w:szCs w:val="24"/>
        </w:rPr>
        <w:t>wet AMD</w:t>
      </w:r>
      <w:r w:rsidRPr="005C4248">
        <w:rPr>
          <w:rFonts w:ascii="Aptos" w:hAnsi="Aptos" w:cs="Segoe UI"/>
          <w:color w:val="auto"/>
          <w:szCs w:val="24"/>
        </w:rPr>
        <w:t>, we’re pushing durability: </w:t>
      </w:r>
    </w:p>
    <w:p w14:paraId="4DB99BF2" w14:textId="77777777" w:rsidR="005C4248" w:rsidRPr="005C4248" w:rsidRDefault="005C4248" w:rsidP="003A0F72">
      <w:pPr>
        <w:numPr>
          <w:ilvl w:val="0"/>
          <w:numId w:val="10"/>
        </w:numPr>
        <w:ind w:left="1080" w:firstLine="0"/>
        <w:textAlignment w:val="baseline"/>
        <w:rPr>
          <w:rFonts w:ascii="Aptos" w:hAnsi="Aptos" w:cs="Segoe UI"/>
          <w:color w:val="auto"/>
          <w:szCs w:val="24"/>
        </w:rPr>
      </w:pPr>
      <w:r w:rsidRPr="005C4248">
        <w:rPr>
          <w:rFonts w:ascii="Aptos" w:hAnsi="Aptos" w:cs="Segoe UI"/>
          <w:b/>
          <w:bCs/>
          <w:color w:val="auto"/>
          <w:szCs w:val="24"/>
        </w:rPr>
        <w:t>Implantable devices</w:t>
      </w:r>
      <w:r w:rsidRPr="005C4248">
        <w:rPr>
          <w:rFonts w:ascii="Aptos" w:hAnsi="Aptos" w:cs="Segoe UI"/>
          <w:color w:val="auto"/>
          <w:szCs w:val="24"/>
        </w:rPr>
        <w:t> that slowly release drug (approved in the U.S.), with refills around every 6–9 months </w:t>
      </w:r>
    </w:p>
    <w:p w14:paraId="64A067F5" w14:textId="77777777" w:rsidR="005C4248" w:rsidRPr="005C4248" w:rsidRDefault="005C4248" w:rsidP="003A0F72">
      <w:pPr>
        <w:numPr>
          <w:ilvl w:val="0"/>
          <w:numId w:val="11"/>
        </w:numPr>
        <w:ind w:left="1080" w:firstLine="0"/>
        <w:textAlignment w:val="baseline"/>
        <w:rPr>
          <w:rFonts w:ascii="Aptos" w:hAnsi="Aptos" w:cs="Segoe UI"/>
          <w:color w:val="auto"/>
          <w:szCs w:val="24"/>
        </w:rPr>
      </w:pPr>
      <w:r w:rsidRPr="6FD37E38">
        <w:rPr>
          <w:rFonts w:ascii="Aptos" w:hAnsi="Aptos" w:cs="Segoe UI"/>
          <w:b/>
          <w:bCs/>
          <w:color w:val="auto"/>
        </w:rPr>
        <w:t>Gene therapy</w:t>
      </w:r>
      <w:r w:rsidRPr="6FD37E38">
        <w:rPr>
          <w:rFonts w:ascii="Aptos" w:hAnsi="Aptos" w:cs="Segoe UI"/>
          <w:color w:val="auto"/>
        </w:rPr>
        <w:t>: delivering a recipe (via a viral vector) so the eye produces the drug itself—essentially turning the eye into a “drug factory.” We’ve completed a gene therapy trial at TRI, and more are ongoing. </w:t>
      </w:r>
    </w:p>
    <w:p w14:paraId="5AC2E79B" w14:textId="51575D51" w:rsidR="6FD37E38" w:rsidRDefault="6FD37E38" w:rsidP="6FD37E38">
      <w:pPr>
        <w:rPr>
          <w:rFonts w:ascii="Aptos" w:hAnsi="Aptos" w:cs="Segoe UI"/>
          <w:color w:val="auto"/>
        </w:rPr>
      </w:pPr>
    </w:p>
    <w:p w14:paraId="78C1020F"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This likely won’t be a “cure,” but it could dramatically reduce injections. Early data suggests around a 90% reduction in injections for many patients—possibly one or two per year, though individuals vary. </w:t>
      </w:r>
    </w:p>
    <w:p w14:paraId="3204EB33" w14:textId="6BD7B05E" w:rsidR="6FD37E38" w:rsidRDefault="6FD37E38" w:rsidP="6FD37E38">
      <w:pPr>
        <w:rPr>
          <w:rFonts w:ascii="Aptos" w:hAnsi="Aptos" w:cs="Segoe UI"/>
          <w:color w:val="auto"/>
        </w:rPr>
      </w:pPr>
    </w:p>
    <w:p w14:paraId="1F78F46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w:t>
      </w:r>
      <w:r w:rsidRPr="005C4248">
        <w:rPr>
          <w:rFonts w:ascii="Aptos" w:hAnsi="Aptos" w:cs="Segoe UI"/>
          <w:b/>
          <w:bCs/>
          <w:color w:val="auto"/>
          <w:szCs w:val="24"/>
        </w:rPr>
        <w:t>dry AMD</w:t>
      </w:r>
      <w:r w:rsidRPr="005C4248">
        <w:rPr>
          <w:rFonts w:ascii="Aptos" w:hAnsi="Aptos" w:cs="Segoe UI"/>
          <w:color w:val="auto"/>
          <w:szCs w:val="24"/>
        </w:rPr>
        <w:t>, we’re awaiting regulatory decisions on anti-complement therapies. Over the next five years, I would expect at least one or two therapies to reach the market. </w:t>
      </w:r>
    </w:p>
    <w:p w14:paraId="7E451677"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We’re also involved in a study on a </w:t>
      </w:r>
      <w:proofErr w:type="spellStart"/>
      <w:r w:rsidRPr="005C4248">
        <w:rPr>
          <w:rFonts w:ascii="Aptos" w:hAnsi="Aptos" w:cs="Segoe UI"/>
          <w:b/>
          <w:bCs/>
          <w:color w:val="auto"/>
          <w:szCs w:val="24"/>
        </w:rPr>
        <w:t>FASt</w:t>
      </w:r>
      <w:proofErr w:type="spellEnd"/>
      <w:r w:rsidRPr="005C4248">
        <w:rPr>
          <w:rFonts w:ascii="Aptos" w:hAnsi="Aptos" w:cs="Segoe UI"/>
          <w:b/>
          <w:bCs/>
          <w:color w:val="auto"/>
          <w:szCs w:val="24"/>
        </w:rPr>
        <w:t> inhibition</w:t>
      </w:r>
      <w:r w:rsidRPr="005C4248">
        <w:rPr>
          <w:rFonts w:ascii="Aptos" w:hAnsi="Aptos" w:cs="Segoe UI"/>
          <w:color w:val="auto"/>
          <w:szCs w:val="24"/>
        </w:rPr>
        <w:t> approach—an injection given every 12 or 24 weeks—aiming to interrupt a death signal to retinal cells in geographic atrophy. Early-phase results suggest slowing of GA growth, and potentially even vision improvement, which is encouraging, though still early. </w:t>
      </w:r>
    </w:p>
    <w:p w14:paraId="68D2DAE7" w14:textId="77777777" w:rsidR="00BE21D5" w:rsidRDefault="00BE21D5" w:rsidP="005C4248">
      <w:pPr>
        <w:textAlignment w:val="baseline"/>
        <w:rPr>
          <w:rFonts w:ascii="Aptos" w:hAnsi="Aptos" w:cs="Segoe UI"/>
          <w:b/>
          <w:bCs/>
          <w:color w:val="auto"/>
          <w:szCs w:val="24"/>
        </w:rPr>
      </w:pPr>
    </w:p>
    <w:p w14:paraId="3B7BC785" w14:textId="5909D23A"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Larissa Moniz:</w:t>
      </w:r>
      <w:r w:rsidRPr="005C4248">
        <w:rPr>
          <w:rFonts w:ascii="Aptos" w:hAnsi="Aptos" w:cs="Segoe UI"/>
          <w:color w:val="auto"/>
          <w:szCs w:val="24"/>
        </w:rPr>
        <w:t> That’s a great place to pause: the future may include multiple treatment options, and the challenge becomes choosing what’s best for each patient—which would be a very good problem to have. </w:t>
      </w:r>
    </w:p>
    <w:p w14:paraId="16A20F90"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Morgan, I’ll hand it back to you. Thank you, Dr. Aboobaker, for a great discussion. </w:t>
      </w:r>
    </w:p>
    <w:p w14:paraId="2765D412" w14:textId="77777777" w:rsidR="00BE21D5" w:rsidRDefault="00BE21D5" w:rsidP="005C4248">
      <w:pPr>
        <w:textAlignment w:val="baseline"/>
        <w:rPr>
          <w:rFonts w:ascii="Aptos" w:hAnsi="Aptos" w:cs="Segoe UI"/>
          <w:b/>
          <w:bCs/>
          <w:color w:val="auto"/>
          <w:szCs w:val="24"/>
        </w:rPr>
      </w:pPr>
    </w:p>
    <w:p w14:paraId="623BBD69" w14:textId="7C24B5F8"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Thanks, Larissa. </w:t>
      </w:r>
    </w:p>
    <w:p w14:paraId="28DE4488"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71F7D1A5" w14:textId="77777777" w:rsidR="005C4248" w:rsidRPr="005C4248" w:rsidRDefault="005C4248" w:rsidP="6FD37E38">
      <w:pPr>
        <w:pStyle w:val="Heading1"/>
        <w:rPr>
          <w:rFonts w:ascii="Segoe UI" w:hAnsi="Segoe UI"/>
          <w:sz w:val="18"/>
          <w:szCs w:val="18"/>
        </w:rPr>
      </w:pPr>
      <w:r>
        <w:t>Audience Q&amp;A </w:t>
      </w:r>
    </w:p>
    <w:p w14:paraId="5386D77E" w14:textId="4067DBD8" w:rsidR="6FD37E38" w:rsidRDefault="6FD37E38" w:rsidP="6FD37E38"/>
    <w:p w14:paraId="511E3F9C" w14:textId="016969A6"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Morgan Ineson:</w:t>
      </w:r>
      <w:r w:rsidRPr="6FD37E38">
        <w:rPr>
          <w:rFonts w:ascii="Aptos" w:hAnsi="Aptos" w:cs="Segoe UI"/>
          <w:color w:val="auto"/>
        </w:rPr>
        <w:t> Thank you both—really insightful. We have a lot of questions, so we’ll try to get through as many as we can. </w:t>
      </w:r>
      <w:r w:rsidR="7F0C0036" w:rsidRPr="6FD37E38">
        <w:rPr>
          <w:rFonts w:ascii="Aptos" w:hAnsi="Aptos" w:cs="Segoe UI"/>
          <w:color w:val="auto"/>
        </w:rPr>
        <w:t xml:space="preserve"> </w:t>
      </w:r>
      <w:r w:rsidRPr="6FD37E38">
        <w:rPr>
          <w:rFonts w:ascii="Aptos" w:hAnsi="Aptos" w:cs="Segoe UI"/>
          <w:color w:val="auto"/>
        </w:rPr>
        <w:t>Let’s dive in. I’m going to group questions where I can. </w:t>
      </w:r>
    </w:p>
    <w:p w14:paraId="107B156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5CF18A3A" w14:textId="77777777" w:rsidR="005C4248" w:rsidRPr="005C4248" w:rsidRDefault="005C4248" w:rsidP="6FD37E38">
      <w:pPr>
        <w:pStyle w:val="Heading2"/>
        <w:rPr>
          <w:rFonts w:ascii="Segoe UI" w:hAnsi="Segoe UI"/>
          <w:sz w:val="18"/>
          <w:szCs w:val="18"/>
        </w:rPr>
      </w:pPr>
      <w:r>
        <w:t>Supplements and AREDS2 </w:t>
      </w:r>
    </w:p>
    <w:p w14:paraId="04040D51" w14:textId="77777777" w:rsidR="00BE21D5" w:rsidRDefault="00BE21D5" w:rsidP="005C4248">
      <w:pPr>
        <w:textAlignment w:val="baseline"/>
        <w:rPr>
          <w:rFonts w:ascii="Aptos" w:hAnsi="Aptos" w:cs="Segoe UI"/>
          <w:b/>
          <w:bCs/>
          <w:color w:val="auto"/>
          <w:szCs w:val="24"/>
        </w:rPr>
      </w:pPr>
    </w:p>
    <w:p w14:paraId="3950C38A" w14:textId="08857C73"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There are lots of questions about supplements and AREDS. For example: Is meso-zeaxanthin important to include in AREDS? Someone has wet AMD but is taking AREDS—does it help? Who should be taking these vitamins? </w:t>
      </w:r>
    </w:p>
    <w:p w14:paraId="783C7F8E" w14:textId="77777777" w:rsidR="00BE21D5" w:rsidRDefault="00BE21D5" w:rsidP="005C4248">
      <w:pPr>
        <w:textAlignment w:val="baseline"/>
        <w:rPr>
          <w:rFonts w:ascii="Aptos" w:hAnsi="Aptos" w:cs="Segoe UI"/>
          <w:b/>
          <w:bCs/>
          <w:color w:val="auto"/>
          <w:szCs w:val="24"/>
        </w:rPr>
      </w:pPr>
    </w:p>
    <w:p w14:paraId="6A6A5142" w14:textId="2A7F7F1F"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It’s important to separate what’s been studied from what’s sometimes recommended. </w:t>
      </w:r>
    </w:p>
    <w:p w14:paraId="72778FA1" w14:textId="50C4D59A" w:rsidR="6FD37E38" w:rsidRDefault="6FD37E38" w:rsidP="6FD37E38">
      <w:pPr>
        <w:rPr>
          <w:rFonts w:ascii="Aptos" w:hAnsi="Aptos" w:cs="Segoe UI"/>
          <w:color w:val="auto"/>
        </w:rPr>
      </w:pPr>
    </w:p>
    <w:p w14:paraId="0BBC3FCD"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The AREDS and AREDS2 formulations include vitamin C, vitamin E, zinc, copper, lutein, and zeaxanthin. Those are the ones with strong evidence. </w:t>
      </w:r>
    </w:p>
    <w:p w14:paraId="1FFA5184" w14:textId="348E24B4" w:rsidR="6FD37E38" w:rsidRDefault="6FD37E38" w:rsidP="6FD37E38">
      <w:pPr>
        <w:rPr>
          <w:rFonts w:ascii="Aptos" w:hAnsi="Aptos" w:cs="Segoe UI"/>
          <w:color w:val="auto"/>
        </w:rPr>
      </w:pPr>
    </w:p>
    <w:p w14:paraId="4FE84163"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People often ask about other supplements—blueberry extract comes up a lot—but the reality is that the best recommendation we can make is based on what’s been studied. </w:t>
      </w:r>
    </w:p>
    <w:p w14:paraId="1C21495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If your product says </w:t>
      </w:r>
      <w:r w:rsidRPr="005C4248">
        <w:rPr>
          <w:rFonts w:ascii="Aptos" w:hAnsi="Aptos" w:cs="Segoe UI"/>
          <w:b/>
          <w:bCs/>
          <w:color w:val="auto"/>
          <w:szCs w:val="24"/>
        </w:rPr>
        <w:t>AREDS2</w:t>
      </w:r>
      <w:r w:rsidRPr="005C4248">
        <w:rPr>
          <w:rFonts w:ascii="Aptos" w:hAnsi="Aptos" w:cs="Segoe UI"/>
          <w:color w:val="auto"/>
          <w:szCs w:val="24"/>
        </w:rPr>
        <w:t> on the label, that’s the formulation we trust from the evidence. </w:t>
      </w:r>
    </w:p>
    <w:p w14:paraId="5FB655C4" w14:textId="77777777" w:rsidR="00BE21D5" w:rsidRDefault="00BE21D5" w:rsidP="005C4248">
      <w:pPr>
        <w:textAlignment w:val="baseline"/>
        <w:rPr>
          <w:rFonts w:ascii="Aptos" w:hAnsi="Aptos" w:cs="Segoe UI"/>
          <w:color w:val="auto"/>
          <w:szCs w:val="24"/>
        </w:rPr>
      </w:pPr>
    </w:p>
    <w:p w14:paraId="44081275" w14:textId="43F66CBD"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Also, an important point: dry and wet AMD often run </w:t>
      </w:r>
      <w:r w:rsidRPr="005C4248">
        <w:rPr>
          <w:rFonts w:ascii="Aptos" w:hAnsi="Aptos" w:cs="Segoe UI"/>
          <w:b/>
          <w:bCs/>
          <w:color w:val="auto"/>
          <w:szCs w:val="24"/>
        </w:rPr>
        <w:t>in parallel</w:t>
      </w:r>
      <w:r w:rsidRPr="005C4248">
        <w:rPr>
          <w:rFonts w:ascii="Aptos" w:hAnsi="Aptos" w:cs="Segoe UI"/>
          <w:color w:val="auto"/>
          <w:szCs w:val="24"/>
        </w:rPr>
        <w:t>. You don’t “replace” dry AMD with wet AMD. You have dry AMD, and then you may develop wet AMD on top of it. Dry AMD can still progress even while wet AMD is being treated with injections. </w:t>
      </w:r>
    </w:p>
    <w:p w14:paraId="6DEFB0B5" w14:textId="77777777" w:rsidR="00BE21D5" w:rsidRDefault="00BE21D5" w:rsidP="005C4248">
      <w:pPr>
        <w:textAlignment w:val="baseline"/>
        <w:rPr>
          <w:rFonts w:ascii="Aptos" w:hAnsi="Aptos" w:cs="Segoe UI"/>
          <w:color w:val="auto"/>
          <w:szCs w:val="24"/>
        </w:rPr>
      </w:pPr>
    </w:p>
    <w:p w14:paraId="04B8E9A6" w14:textId="71052880"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That matters because even if you have wet AMD, your dry disease can still progress—so yes, you should continue </w:t>
      </w:r>
      <w:r w:rsidRPr="005C4248">
        <w:rPr>
          <w:rFonts w:ascii="Aptos" w:hAnsi="Aptos" w:cs="Segoe UI"/>
          <w:b/>
          <w:bCs/>
          <w:color w:val="auto"/>
          <w:szCs w:val="24"/>
        </w:rPr>
        <w:t>AREDS2</w:t>
      </w:r>
      <w:r w:rsidRPr="005C4248">
        <w:rPr>
          <w:rFonts w:ascii="Aptos" w:hAnsi="Aptos" w:cs="Segoe UI"/>
          <w:color w:val="auto"/>
          <w:szCs w:val="24"/>
        </w:rPr>
        <w:t>, because it can slow progression, including slowing geographic atrophy. </w:t>
      </w:r>
    </w:p>
    <w:p w14:paraId="55FE44AE" w14:textId="77777777" w:rsidR="00BE21D5" w:rsidRDefault="00BE21D5" w:rsidP="005C4248">
      <w:pPr>
        <w:textAlignment w:val="baseline"/>
        <w:rPr>
          <w:rFonts w:ascii="Aptos" w:hAnsi="Aptos" w:cs="Segoe UI"/>
          <w:color w:val="auto"/>
          <w:szCs w:val="24"/>
        </w:rPr>
      </w:pPr>
    </w:p>
    <w:p w14:paraId="44E8424C" w14:textId="1AE4C8F6"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In the future, it’s possible some patients may receive injections for wet AMD and separate treatments for dry AMD as well. </w:t>
      </w:r>
    </w:p>
    <w:p w14:paraId="1D4431E8"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5C3B5205" w14:textId="77777777" w:rsidR="005C4248" w:rsidRPr="005C4248" w:rsidRDefault="005C4248" w:rsidP="6FD37E38">
      <w:pPr>
        <w:pStyle w:val="Heading2"/>
        <w:rPr>
          <w:rFonts w:ascii="Segoe UI" w:hAnsi="Segoe UI"/>
          <w:sz w:val="18"/>
          <w:szCs w:val="18"/>
        </w:rPr>
      </w:pPr>
      <w:r>
        <w:t>AMD and Glaucoma: Do Injections Affect Eye Pressure? </w:t>
      </w:r>
    </w:p>
    <w:p w14:paraId="6E10091C" w14:textId="77777777" w:rsidR="005C4248" w:rsidRDefault="005C4248" w:rsidP="005C4248">
      <w:pPr>
        <w:textAlignment w:val="baseline"/>
        <w:rPr>
          <w:rFonts w:ascii="Aptos" w:hAnsi="Aptos" w:cs="Segoe UI"/>
          <w:b/>
          <w:bCs/>
          <w:color w:val="auto"/>
          <w:szCs w:val="24"/>
        </w:rPr>
      </w:pPr>
    </w:p>
    <w:p w14:paraId="6AC66141" w14:textId="24A1CBB1"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We have questions about glaucoma and AMD—especially regarding injections and pressure. How do these conditions interact? </w:t>
      </w:r>
    </w:p>
    <w:p w14:paraId="7278F848" w14:textId="77777777" w:rsidR="005C4248" w:rsidRDefault="005C4248" w:rsidP="005C4248">
      <w:pPr>
        <w:textAlignment w:val="baseline"/>
        <w:rPr>
          <w:rFonts w:ascii="Aptos" w:hAnsi="Aptos" w:cs="Segoe UI"/>
          <w:b/>
          <w:bCs/>
          <w:color w:val="auto"/>
          <w:szCs w:val="24"/>
        </w:rPr>
      </w:pPr>
    </w:p>
    <w:p w14:paraId="578DF9D7" w14:textId="783A5FC5"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This is an active debate. </w:t>
      </w:r>
    </w:p>
    <w:p w14:paraId="644CB4E1" w14:textId="6357B0B8" w:rsidR="6FD37E38" w:rsidRDefault="6FD37E38" w:rsidP="6FD37E38">
      <w:pPr>
        <w:rPr>
          <w:rFonts w:ascii="Aptos" w:hAnsi="Aptos" w:cs="Segoe UI"/>
          <w:color w:val="auto"/>
        </w:rPr>
      </w:pPr>
    </w:p>
    <w:p w14:paraId="7CB6976D"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We do know that pressure rises immediately after an injection—basic physics. The good news is the eye compensates well, and pressure usually settles within about 15 minutes. </w:t>
      </w:r>
    </w:p>
    <w:p w14:paraId="03DC2723"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Some people may have temporary blurring or dimming; in rare cases, headache or nausea, which should be addressed. </w:t>
      </w:r>
    </w:p>
    <w:p w14:paraId="0DA1FBC1" w14:textId="638F7855" w:rsidR="6FD37E38" w:rsidRDefault="6FD37E38" w:rsidP="6FD37E38">
      <w:pPr>
        <w:rPr>
          <w:rFonts w:ascii="Aptos" w:hAnsi="Aptos" w:cs="Segoe UI"/>
          <w:color w:val="auto"/>
        </w:rPr>
      </w:pPr>
    </w:p>
    <w:p w14:paraId="2FD62AFB"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The bigger question is long-term: if you get injections every 4–6 weeks for many years, does that worsen glaucoma over time? The truth is we don’t know yet. </w:t>
      </w:r>
    </w:p>
    <w:p w14:paraId="4A6BDC5F" w14:textId="5E5C4A65" w:rsidR="6FD37E38" w:rsidRDefault="6FD37E38" w:rsidP="6FD37E38">
      <w:pPr>
        <w:rPr>
          <w:rFonts w:ascii="Aptos" w:hAnsi="Aptos" w:cs="Segoe UI"/>
          <w:color w:val="auto"/>
        </w:rPr>
      </w:pPr>
    </w:p>
    <w:p w14:paraId="463B9AAD"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Glaucoma specialists often believe injections can worsen glaucoma long-term; retina specialists recognize the short-term pressure change but are not certain about the long-term impact. We’re studying this by looking at changes in the nerve fiber layer over time, and also whether different injection volumes matter. </w:t>
      </w:r>
    </w:p>
    <w:p w14:paraId="77A9C13A"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 </w:t>
      </w:r>
    </w:p>
    <w:p w14:paraId="25A63054" w14:textId="038C67A7" w:rsidR="00BE21D5" w:rsidRDefault="005C4248" w:rsidP="6FD37E38">
      <w:pPr>
        <w:pStyle w:val="Heading2"/>
        <w:rPr>
          <w:rFonts w:ascii="Segoe UI" w:hAnsi="Segoe UI"/>
          <w:sz w:val="18"/>
          <w:szCs w:val="18"/>
        </w:rPr>
      </w:pPr>
      <w:r>
        <w:t>Cataract Surgery and AMD </w:t>
      </w:r>
    </w:p>
    <w:p w14:paraId="1B6CB07E" w14:textId="7208A6C3" w:rsidR="6FD37E38" w:rsidRDefault="6FD37E38" w:rsidP="6FD37E38">
      <w:pPr>
        <w:rPr>
          <w:rFonts w:ascii="Aptos" w:hAnsi="Aptos" w:cs="Segoe UI"/>
          <w:b/>
          <w:bCs/>
          <w:color w:val="auto"/>
        </w:rPr>
      </w:pPr>
    </w:p>
    <w:p w14:paraId="6E1BA698" w14:textId="75F72728" w:rsidR="005C4248" w:rsidRPr="005C4248" w:rsidRDefault="005C4248" w:rsidP="005C4248">
      <w:pPr>
        <w:textAlignment w:val="baseline"/>
        <w:rPr>
          <w:rFonts w:ascii="Segoe UI" w:hAnsi="Segoe UI" w:cs="Segoe UI"/>
          <w:color w:val="0F4761"/>
          <w:sz w:val="18"/>
          <w:szCs w:val="18"/>
        </w:rPr>
      </w:pPr>
      <w:r w:rsidRPr="005C4248">
        <w:rPr>
          <w:rFonts w:ascii="Aptos" w:hAnsi="Aptos" w:cs="Segoe UI"/>
          <w:b/>
          <w:bCs/>
          <w:color w:val="auto"/>
          <w:szCs w:val="24"/>
        </w:rPr>
        <w:t>Morgan Ineson:</w:t>
      </w:r>
      <w:r w:rsidRPr="005C4248">
        <w:rPr>
          <w:rFonts w:ascii="Aptos" w:hAnsi="Aptos" w:cs="Segoe UI"/>
          <w:color w:val="auto"/>
          <w:szCs w:val="24"/>
        </w:rPr>
        <w:t> Does cataract surgery worsen AMD? </w:t>
      </w:r>
    </w:p>
    <w:p w14:paraId="499663BB" w14:textId="77777777" w:rsidR="00BE21D5" w:rsidRDefault="00BE21D5" w:rsidP="005C4248">
      <w:pPr>
        <w:textAlignment w:val="baseline"/>
        <w:rPr>
          <w:rFonts w:ascii="Aptos" w:hAnsi="Aptos" w:cs="Segoe UI"/>
          <w:b/>
          <w:bCs/>
          <w:color w:val="auto"/>
          <w:szCs w:val="24"/>
        </w:rPr>
      </w:pPr>
    </w:p>
    <w:p w14:paraId="35D30E27" w14:textId="7398D7A9"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We don’t know for certain. I’ve seen patients develop wet AMD after cataract surgery, but that doesn’t prove cataract surgery caused it. </w:t>
      </w:r>
    </w:p>
    <w:p w14:paraId="7CD2CE9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There’s a difference between correlation and causation. Cataract surgery is generally safe, and most people do well. It’s possible, but I would be hesitant to say cataract surgery directly causes wet AMD. </w:t>
      </w:r>
    </w:p>
    <w:p w14:paraId="3E4CBB05"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20AF76F9" w14:textId="77777777" w:rsidR="005C4248" w:rsidRPr="005C4248" w:rsidRDefault="005C4248" w:rsidP="6FD37E38">
      <w:pPr>
        <w:pStyle w:val="Heading2"/>
        <w:rPr>
          <w:rFonts w:ascii="Segoe UI" w:hAnsi="Segoe UI"/>
          <w:sz w:val="18"/>
          <w:szCs w:val="18"/>
        </w:rPr>
      </w:pPr>
      <w:r>
        <w:t>MacuMira: What Is It, and Does It Work? </w:t>
      </w:r>
    </w:p>
    <w:p w14:paraId="37E31D99" w14:textId="77777777" w:rsidR="00BE21D5" w:rsidRDefault="00BE21D5" w:rsidP="005C4248">
      <w:pPr>
        <w:textAlignment w:val="baseline"/>
        <w:rPr>
          <w:rFonts w:ascii="Aptos" w:hAnsi="Aptos" w:cs="Segoe UI"/>
          <w:b/>
          <w:bCs/>
          <w:color w:val="auto"/>
          <w:szCs w:val="24"/>
        </w:rPr>
      </w:pPr>
    </w:p>
    <w:p w14:paraId="0674053A" w14:textId="297CE828"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Many questions about </w:t>
      </w:r>
      <w:proofErr w:type="spellStart"/>
      <w:r w:rsidRPr="005C4248">
        <w:rPr>
          <w:rFonts w:ascii="Aptos" w:hAnsi="Aptos" w:cs="Segoe UI"/>
          <w:b/>
          <w:bCs/>
          <w:color w:val="auto"/>
          <w:szCs w:val="24"/>
        </w:rPr>
        <w:t>MacuMira</w:t>
      </w:r>
      <w:proofErr w:type="spellEnd"/>
      <w:r w:rsidRPr="005C4248">
        <w:rPr>
          <w:rFonts w:ascii="Aptos" w:hAnsi="Aptos" w:cs="Segoe UI"/>
          <w:color w:val="auto"/>
          <w:szCs w:val="24"/>
        </w:rPr>
        <w:t>. What is it, and should people consider it? </w:t>
      </w:r>
    </w:p>
    <w:p w14:paraId="77C2CC82" w14:textId="77777777" w:rsidR="00BE21D5" w:rsidRDefault="00BE21D5" w:rsidP="005C4248">
      <w:pPr>
        <w:textAlignment w:val="baseline"/>
        <w:rPr>
          <w:rFonts w:ascii="Aptos" w:hAnsi="Aptos" w:cs="Segoe UI"/>
          <w:b/>
          <w:bCs/>
          <w:color w:val="auto"/>
          <w:szCs w:val="24"/>
        </w:rPr>
      </w:pPr>
    </w:p>
    <w:p w14:paraId="147C3708" w14:textId="4355EE7F"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MacuMira is an innovative therapy that uses </w:t>
      </w:r>
      <w:r w:rsidRPr="6FD37E38">
        <w:rPr>
          <w:rFonts w:ascii="Aptos" w:hAnsi="Aptos" w:cs="Segoe UI"/>
          <w:b/>
          <w:bCs/>
          <w:color w:val="auto"/>
        </w:rPr>
        <w:t>microcurrent electrical stimulation</w:t>
      </w:r>
      <w:r w:rsidRPr="6FD37E38">
        <w:rPr>
          <w:rFonts w:ascii="Aptos" w:hAnsi="Aptos" w:cs="Segoe UI"/>
          <w:color w:val="auto"/>
        </w:rPr>
        <w:t>, typically with electrodes placed on the forehead. The hypothesis is that microcurrent stimulation could slow dry AMD, though the biological mechanism isn’t fully established. It’s also Canadian technology, which is great. </w:t>
      </w:r>
    </w:p>
    <w:p w14:paraId="596B5CBD" w14:textId="1FC2B7FE" w:rsidR="6FD37E38" w:rsidRDefault="6FD37E38" w:rsidP="6FD37E38">
      <w:pPr>
        <w:rPr>
          <w:rFonts w:ascii="Aptos" w:hAnsi="Aptos" w:cs="Segoe UI"/>
          <w:color w:val="auto"/>
        </w:rPr>
      </w:pPr>
    </w:p>
    <w:p w14:paraId="7C57ECC5"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What we know: there’s been one study (my understanding is it was done in British Columbia). Many in the retina community have concerns about how that study was designed and how convincing the findings are. </w:t>
      </w:r>
    </w:p>
    <w:p w14:paraId="48ADBE4F" w14:textId="7CD59920" w:rsidR="6FD37E38" w:rsidRDefault="6FD37E38" w:rsidP="6FD37E38">
      <w:pPr>
        <w:rPr>
          <w:rFonts w:ascii="Aptos" w:hAnsi="Aptos" w:cs="Segoe UI"/>
          <w:color w:val="auto"/>
        </w:rPr>
      </w:pPr>
    </w:p>
    <w:p w14:paraId="54232A9D"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I’ve had discussions with the company and emphasized that it needs more robust study. We’re not saying it doesn’t work—we just don’t have enough high-quality data yet. </w:t>
      </w:r>
    </w:p>
    <w:p w14:paraId="6426BC5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My general advice for now is to watch and wait for stronger evidence. </w:t>
      </w:r>
    </w:p>
    <w:p w14:paraId="50E8D4AE" w14:textId="77777777" w:rsidR="00BE21D5" w:rsidRDefault="00BE21D5" w:rsidP="005C4248">
      <w:pPr>
        <w:textAlignment w:val="baseline"/>
        <w:rPr>
          <w:rFonts w:ascii="Aptos" w:hAnsi="Aptos" w:cs="Segoe UI"/>
          <w:b/>
          <w:bCs/>
          <w:color w:val="auto"/>
          <w:szCs w:val="24"/>
        </w:rPr>
      </w:pPr>
    </w:p>
    <w:p w14:paraId="3D149114" w14:textId="072C7DF5"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And </w:t>
      </w:r>
      <w:proofErr w:type="spellStart"/>
      <w:r w:rsidRPr="005C4248">
        <w:rPr>
          <w:rFonts w:ascii="Aptos" w:hAnsi="Aptos" w:cs="Segoe UI"/>
          <w:color w:val="auto"/>
          <w:szCs w:val="24"/>
        </w:rPr>
        <w:t>MacuMira</w:t>
      </w:r>
      <w:proofErr w:type="spellEnd"/>
      <w:r w:rsidRPr="005C4248">
        <w:rPr>
          <w:rFonts w:ascii="Aptos" w:hAnsi="Aptos" w:cs="Segoe UI"/>
          <w:color w:val="auto"/>
          <w:szCs w:val="24"/>
        </w:rPr>
        <w:t> is a device, not a drug. Can you explain how approval differs? </w:t>
      </w:r>
    </w:p>
    <w:p w14:paraId="54F005B3" w14:textId="77777777" w:rsidR="00BE21D5" w:rsidRDefault="00BE21D5" w:rsidP="005C4248">
      <w:pPr>
        <w:textAlignment w:val="baseline"/>
        <w:rPr>
          <w:rFonts w:ascii="Aptos" w:hAnsi="Aptos" w:cs="Segoe UI"/>
          <w:b/>
          <w:bCs/>
          <w:color w:val="auto"/>
          <w:szCs w:val="24"/>
        </w:rPr>
      </w:pPr>
    </w:p>
    <w:p w14:paraId="590E7193" w14:textId="0F33E54A"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Drug approvals (Phase 1–3, large global trials) are rigorous and expensive. For devices, the standard for approval is generally lower, with fewer patients and less rigorous requirements compared to drug trials. </w:t>
      </w:r>
    </w:p>
    <w:p w14:paraId="5F42F294" w14:textId="6D2FD9C1" w:rsidR="6FD37E38" w:rsidRDefault="6FD37E38" w:rsidP="6FD37E38">
      <w:pPr>
        <w:rPr>
          <w:rFonts w:ascii="Aptos" w:hAnsi="Aptos" w:cs="Segoe UI"/>
          <w:color w:val="auto"/>
        </w:rPr>
      </w:pPr>
    </w:p>
    <w:p w14:paraId="1A27EEEB"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So when someone says something is “approved,” it’s important to clarify whether it’s an approved </w:t>
      </w:r>
      <w:r w:rsidRPr="005C4248">
        <w:rPr>
          <w:rFonts w:ascii="Aptos" w:hAnsi="Aptos" w:cs="Segoe UI"/>
          <w:b/>
          <w:bCs/>
          <w:color w:val="auto"/>
          <w:szCs w:val="24"/>
        </w:rPr>
        <w:t>drug</w:t>
      </w:r>
      <w:r w:rsidRPr="005C4248">
        <w:rPr>
          <w:rFonts w:ascii="Aptos" w:hAnsi="Aptos" w:cs="Segoe UI"/>
          <w:color w:val="auto"/>
          <w:szCs w:val="24"/>
        </w:rPr>
        <w:t> or an approved </w:t>
      </w:r>
      <w:r w:rsidRPr="005C4248">
        <w:rPr>
          <w:rFonts w:ascii="Aptos" w:hAnsi="Aptos" w:cs="Segoe UI"/>
          <w:b/>
          <w:bCs/>
          <w:color w:val="auto"/>
          <w:szCs w:val="24"/>
        </w:rPr>
        <w:t>device</w:t>
      </w:r>
      <w:r w:rsidRPr="005C4248">
        <w:rPr>
          <w:rFonts w:ascii="Aptos" w:hAnsi="Aptos" w:cs="Segoe UI"/>
          <w:color w:val="auto"/>
          <w:szCs w:val="24"/>
        </w:rPr>
        <w:t>, because the evidence bar can be very different. </w:t>
      </w:r>
    </w:p>
    <w:p w14:paraId="0905710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30CE1A92" w14:textId="77777777" w:rsidR="005C4248" w:rsidRPr="005C4248" w:rsidRDefault="005C4248" w:rsidP="6FD37E38">
      <w:pPr>
        <w:pStyle w:val="Heading2"/>
        <w:rPr>
          <w:rFonts w:ascii="Segoe UI" w:hAnsi="Segoe UI"/>
          <w:sz w:val="18"/>
          <w:szCs w:val="18"/>
        </w:rPr>
      </w:pPr>
      <w:r>
        <w:t>Red Light Therapy and Photobiomodulation </w:t>
      </w:r>
    </w:p>
    <w:p w14:paraId="7A6CE904" w14:textId="77777777" w:rsidR="00BE21D5" w:rsidRDefault="00BE21D5" w:rsidP="005C4248">
      <w:pPr>
        <w:textAlignment w:val="baseline"/>
        <w:rPr>
          <w:rFonts w:ascii="Aptos" w:hAnsi="Aptos" w:cs="Segoe UI"/>
          <w:b/>
          <w:bCs/>
          <w:color w:val="auto"/>
          <w:szCs w:val="24"/>
        </w:rPr>
      </w:pPr>
    </w:p>
    <w:p w14:paraId="6DDE24A2" w14:textId="17177840"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What is red light therapy? Is it effective? And what about </w:t>
      </w:r>
      <w:proofErr w:type="spellStart"/>
      <w:r w:rsidRPr="005C4248">
        <w:rPr>
          <w:rFonts w:ascii="Aptos" w:hAnsi="Aptos" w:cs="Segoe UI"/>
          <w:color w:val="auto"/>
          <w:szCs w:val="24"/>
        </w:rPr>
        <w:t>photobiomodulation</w:t>
      </w:r>
      <w:proofErr w:type="spellEnd"/>
      <w:r w:rsidRPr="005C4248">
        <w:rPr>
          <w:rFonts w:ascii="Aptos" w:hAnsi="Aptos" w:cs="Segoe UI"/>
          <w:color w:val="auto"/>
          <w:szCs w:val="24"/>
        </w:rPr>
        <w:t>? </w:t>
      </w:r>
    </w:p>
    <w:p w14:paraId="5296A1E1" w14:textId="77777777" w:rsidR="00BE21D5" w:rsidRDefault="00BE21D5" w:rsidP="005C4248">
      <w:pPr>
        <w:textAlignment w:val="baseline"/>
        <w:rPr>
          <w:rFonts w:ascii="Aptos" w:hAnsi="Aptos" w:cs="Segoe UI"/>
          <w:b/>
          <w:bCs/>
          <w:color w:val="auto"/>
          <w:szCs w:val="24"/>
        </w:rPr>
      </w:pPr>
    </w:p>
    <w:p w14:paraId="7E3053A2" w14:textId="3F344061"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w:t>
      </w:r>
      <w:proofErr w:type="spellStart"/>
      <w:r w:rsidRPr="6FD37E38">
        <w:rPr>
          <w:rFonts w:ascii="Aptos" w:hAnsi="Aptos" w:cs="Segoe UI"/>
          <w:b/>
          <w:bCs/>
          <w:color w:val="auto"/>
        </w:rPr>
        <w:t>Photobiomodulation</w:t>
      </w:r>
      <w:proofErr w:type="spellEnd"/>
      <w:r w:rsidRPr="6FD37E38">
        <w:rPr>
          <w:rFonts w:ascii="Aptos" w:hAnsi="Aptos" w:cs="Segoe UI"/>
          <w:color w:val="auto"/>
        </w:rPr>
        <w:t> uses multiple wavelengths of light delivered to the retina, often in early AMD, with the goal of stimulating a response that slows disease progression. </w:t>
      </w:r>
    </w:p>
    <w:p w14:paraId="2798C5D8" w14:textId="186E67A4" w:rsidR="6FD37E38" w:rsidRDefault="6FD37E38" w:rsidP="6FD37E38">
      <w:pPr>
        <w:rPr>
          <w:rFonts w:ascii="Aptos" w:hAnsi="Aptos" w:cs="Segoe UI"/>
          <w:color w:val="auto"/>
        </w:rPr>
      </w:pPr>
    </w:p>
    <w:p w14:paraId="1F056690"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There have been three stronger studies (</w:t>
      </w:r>
      <w:proofErr w:type="spellStart"/>
      <w:r w:rsidRPr="6FD37E38">
        <w:rPr>
          <w:rFonts w:ascii="Aptos" w:hAnsi="Aptos" w:cs="Segoe UI"/>
          <w:color w:val="auto"/>
        </w:rPr>
        <w:t>LightSight</w:t>
      </w:r>
      <w:proofErr w:type="spellEnd"/>
      <w:r w:rsidRPr="6FD37E38">
        <w:rPr>
          <w:rFonts w:ascii="Aptos" w:hAnsi="Aptos" w:cs="Segoe UI"/>
          <w:color w:val="auto"/>
        </w:rPr>
        <w:t> 1, 2, and 3), with around 100 patients each. One study was done in Toronto. Across studies, results suggest about a one-line vision improvement and reductions in drusen volume. The field is still split—some physicians are ready to adopt it, others want more evidence. It’s available in the U.S., with mixed uptake. </w:t>
      </w:r>
    </w:p>
    <w:p w14:paraId="79673B35" w14:textId="4E4D3316" w:rsidR="6FD37E38" w:rsidRDefault="6FD37E38" w:rsidP="6FD37E38">
      <w:pPr>
        <w:rPr>
          <w:rFonts w:ascii="Aptos" w:hAnsi="Aptos" w:cs="Segoe UI"/>
          <w:color w:val="auto"/>
        </w:rPr>
      </w:pPr>
    </w:p>
    <w:p w14:paraId="2D3C6DC4"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In Canada, once it becomes available, we’re interested in it because of the high need, but individual physicians may differ in their interpretation of the evidence. </w:t>
      </w:r>
    </w:p>
    <w:p w14:paraId="1005BD54" w14:textId="77777777" w:rsidR="00BE21D5" w:rsidRDefault="00BE21D5" w:rsidP="005C4248">
      <w:pPr>
        <w:textAlignment w:val="baseline"/>
        <w:rPr>
          <w:rFonts w:ascii="Aptos" w:hAnsi="Aptos" w:cs="Segoe UI"/>
          <w:color w:val="auto"/>
          <w:szCs w:val="24"/>
        </w:rPr>
      </w:pPr>
    </w:p>
    <w:p w14:paraId="024BCEAD" w14:textId="77CD0A01"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w:t>
      </w:r>
      <w:r w:rsidRPr="005C4248">
        <w:rPr>
          <w:rFonts w:ascii="Aptos" w:hAnsi="Aptos" w:cs="Segoe UI"/>
          <w:b/>
          <w:bCs/>
          <w:color w:val="auto"/>
          <w:szCs w:val="24"/>
        </w:rPr>
        <w:t>red light therapy</w:t>
      </w:r>
      <w:r w:rsidRPr="005C4248">
        <w:rPr>
          <w:rFonts w:ascii="Aptos" w:hAnsi="Aptos" w:cs="Segoe UI"/>
          <w:color w:val="auto"/>
          <w:szCs w:val="24"/>
        </w:rPr>
        <w:t>, we don’t have enough evidence to say it works broadly. I’ll share one anecdote: a colleague had a patient doing consistent full-body light therapy, and OCT images showed drusen had resolved. But that’s a single case, and it doesn’t mean it will work for everyone. It does suggest the topic deserves further study. </w:t>
      </w:r>
    </w:p>
    <w:p w14:paraId="3144677D"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2842F96F" w14:textId="77777777" w:rsidR="005C4248" w:rsidRPr="005C4248" w:rsidRDefault="005C4248" w:rsidP="6FD37E38">
      <w:pPr>
        <w:pStyle w:val="Heading2"/>
        <w:rPr>
          <w:rFonts w:ascii="Segoe UI" w:hAnsi="Segoe UI"/>
          <w:sz w:val="18"/>
          <w:szCs w:val="18"/>
        </w:rPr>
      </w:pPr>
      <w:r>
        <w:t>Stem Cell Therapy in AMD </w:t>
      </w:r>
    </w:p>
    <w:p w14:paraId="0B61E7FF" w14:textId="77777777" w:rsidR="00BE21D5" w:rsidRDefault="00BE21D5" w:rsidP="005C4248">
      <w:pPr>
        <w:textAlignment w:val="baseline"/>
        <w:rPr>
          <w:rFonts w:ascii="Aptos" w:hAnsi="Aptos" w:cs="Segoe UI"/>
          <w:b/>
          <w:bCs/>
          <w:color w:val="auto"/>
          <w:szCs w:val="24"/>
        </w:rPr>
      </w:pPr>
    </w:p>
    <w:p w14:paraId="2C67EBB2" w14:textId="473D07D2"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Several questions about stem cell therapy (or cell therapy). Where are we at with this for AMD? </w:t>
      </w:r>
    </w:p>
    <w:p w14:paraId="1C6D82EF" w14:textId="77777777" w:rsidR="00BE21D5" w:rsidRDefault="00BE21D5" w:rsidP="005C4248">
      <w:pPr>
        <w:textAlignment w:val="baseline"/>
        <w:rPr>
          <w:rFonts w:ascii="Aptos" w:hAnsi="Aptos" w:cs="Segoe UI"/>
          <w:b/>
          <w:bCs/>
          <w:color w:val="auto"/>
          <w:szCs w:val="24"/>
        </w:rPr>
      </w:pPr>
    </w:p>
    <w:p w14:paraId="29C9D35F" w14:textId="460DD9E8"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I’m glad this came up. Stem cells—often called </w:t>
      </w:r>
      <w:r w:rsidRPr="005C4248">
        <w:rPr>
          <w:rFonts w:ascii="Aptos" w:hAnsi="Aptos" w:cs="Segoe UI"/>
          <w:b/>
          <w:bCs/>
          <w:color w:val="auto"/>
          <w:szCs w:val="24"/>
        </w:rPr>
        <w:t>cell therapy</w:t>
      </w:r>
      <w:r w:rsidRPr="005C4248">
        <w:rPr>
          <w:rFonts w:ascii="Aptos" w:hAnsi="Aptos" w:cs="Segoe UI"/>
          <w:color w:val="auto"/>
          <w:szCs w:val="24"/>
        </w:rPr>
        <w:t> now—have had some negative history, including serious outcomes when used outside rigorous trial frameworks. </w:t>
      </w:r>
    </w:p>
    <w:p w14:paraId="3EBEB6D5"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What we’re seeing now is different. Cell therapy aims to replace cells lost in geographic atrophy by guiding cells to become retinal cells (photoreceptors or supporting retinal pigment epithelium cells). This is still early-stage (often Phase 1), but it has potential to restore function. </w:t>
      </w:r>
    </w:p>
    <w:p w14:paraId="65B73666" w14:textId="48F2FD87" w:rsidR="6FD37E38" w:rsidRDefault="6FD37E38" w:rsidP="6FD37E38">
      <w:pPr>
        <w:rPr>
          <w:rFonts w:ascii="Aptos" w:hAnsi="Aptos" w:cs="Segoe UI"/>
          <w:color w:val="auto"/>
        </w:rPr>
      </w:pPr>
    </w:p>
    <w:p w14:paraId="3578E29F"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 are multiple companies and investigational approaches. Two examples: </w:t>
      </w:r>
    </w:p>
    <w:p w14:paraId="799AAE0C" w14:textId="77777777" w:rsidR="005C4248" w:rsidRPr="005C4248" w:rsidRDefault="005C4248" w:rsidP="6FD37E38">
      <w:pPr>
        <w:pStyle w:val="ListParagraph"/>
        <w:numPr>
          <w:ilvl w:val="0"/>
          <w:numId w:val="2"/>
        </w:numPr>
        <w:textAlignment w:val="baseline"/>
        <w:rPr>
          <w:rFonts w:ascii="Aptos" w:hAnsi="Aptos" w:cs="Segoe UI"/>
          <w:color w:val="auto"/>
        </w:rPr>
      </w:pPr>
      <w:r w:rsidRPr="6FD37E38">
        <w:rPr>
          <w:rFonts w:ascii="Aptos" w:hAnsi="Aptos" w:cs="Segoe UI"/>
          <w:b/>
          <w:bCs/>
          <w:color w:val="auto"/>
        </w:rPr>
        <w:t>EyeCyte-RPE</w:t>
      </w:r>
      <w:r w:rsidRPr="6FD37E38">
        <w:rPr>
          <w:rFonts w:ascii="Aptos" w:hAnsi="Aptos" w:cs="Segoe UI"/>
          <w:color w:val="auto"/>
        </w:rPr>
        <w:t> (Bangalore, India) reported Phase 1 results with an average improvement of 14 letters, with best cases around 20 letters—potentially life-changing for people with severe vision loss. </w:t>
      </w:r>
    </w:p>
    <w:p w14:paraId="3E13FCB8" w14:textId="77777777" w:rsidR="005C4248" w:rsidRPr="005C4248" w:rsidRDefault="005C4248" w:rsidP="6FD37E38">
      <w:pPr>
        <w:pStyle w:val="ListParagraph"/>
        <w:numPr>
          <w:ilvl w:val="0"/>
          <w:numId w:val="2"/>
        </w:numPr>
        <w:textAlignment w:val="baseline"/>
        <w:rPr>
          <w:rFonts w:ascii="Aptos" w:hAnsi="Aptos" w:cs="Segoe UI"/>
          <w:color w:val="auto"/>
        </w:rPr>
      </w:pPr>
      <w:r w:rsidRPr="6FD37E38">
        <w:rPr>
          <w:rFonts w:ascii="Aptos" w:hAnsi="Aptos" w:cs="Segoe UI"/>
          <w:b/>
          <w:bCs/>
          <w:color w:val="auto"/>
        </w:rPr>
        <w:t>Astellas</w:t>
      </w:r>
      <w:r w:rsidRPr="6FD37E38">
        <w:rPr>
          <w:rFonts w:ascii="Aptos" w:hAnsi="Aptos" w:cs="Segoe UI"/>
          <w:color w:val="auto"/>
        </w:rPr>
        <w:t> has a product moving toward Phase 3, and we expect involvement later this year. </w:t>
      </w:r>
    </w:p>
    <w:p w14:paraId="302C51A7" w14:textId="4221F05E" w:rsidR="6FD37E38" w:rsidRDefault="6FD37E38" w:rsidP="6FD37E38">
      <w:pPr>
        <w:pStyle w:val="ListParagraph"/>
        <w:rPr>
          <w:rFonts w:ascii="Aptos" w:hAnsi="Aptos" w:cs="Segoe UI"/>
          <w:color w:val="auto"/>
        </w:rPr>
      </w:pPr>
    </w:p>
    <w:p w14:paraId="1FD2EA26"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For those interested in trials: speak with a retina specialist involved in research, tell them you’re interested, and then discuss what study might be appropriate. </w:t>
      </w:r>
    </w:p>
    <w:p w14:paraId="796D7C55"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Some cell therapies are moving faster from Phase 1 to Phase 3 due to potential impact, but this is often a surgical procedure done in the operating room. </w:t>
      </w:r>
    </w:p>
    <w:p w14:paraId="7847C27C"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73FD07C1" w14:textId="77777777" w:rsidR="005C4248" w:rsidRPr="005C4248" w:rsidRDefault="005C4248" w:rsidP="6FD37E38">
      <w:pPr>
        <w:pStyle w:val="Heading2"/>
        <w:rPr>
          <w:rFonts w:ascii="Segoe UI" w:hAnsi="Segoe UI"/>
          <w:sz w:val="18"/>
          <w:szCs w:val="18"/>
        </w:rPr>
      </w:pPr>
      <w:r>
        <w:t>Choosing Injection Drugs and When Treatment Stops </w:t>
      </w:r>
    </w:p>
    <w:p w14:paraId="58EC1A24" w14:textId="77777777" w:rsidR="00BE21D5" w:rsidRDefault="00BE21D5" w:rsidP="005C4248">
      <w:pPr>
        <w:textAlignment w:val="baseline"/>
        <w:rPr>
          <w:rFonts w:ascii="Aptos" w:hAnsi="Aptos" w:cs="Segoe UI"/>
          <w:b/>
          <w:bCs/>
          <w:color w:val="auto"/>
          <w:szCs w:val="24"/>
        </w:rPr>
      </w:pPr>
    </w:p>
    <w:p w14:paraId="4D1F68EE" w14:textId="3044C2A6"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Questions about different injection drugs: Avastin, Eylea, switching medications, and why some people stop injections. How do you make those decisions? </w:t>
      </w:r>
    </w:p>
    <w:p w14:paraId="30F246DE" w14:textId="77777777" w:rsidR="00BE21D5" w:rsidRDefault="00BE21D5" w:rsidP="005C4248">
      <w:pPr>
        <w:textAlignment w:val="baseline"/>
        <w:rPr>
          <w:rFonts w:ascii="Aptos" w:hAnsi="Aptos" w:cs="Segoe UI"/>
          <w:b/>
          <w:bCs/>
          <w:color w:val="auto"/>
          <w:szCs w:val="24"/>
        </w:rPr>
      </w:pPr>
    </w:p>
    <w:p w14:paraId="49094901" w14:textId="74B3CDFD"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First, it’s important to clarify the diagnosis. With wet AMD, treatment is usually ongoing because the condition can reactivate and cause further vision loss. </w:t>
      </w:r>
    </w:p>
    <w:p w14:paraId="72761798" w14:textId="324E3B87" w:rsidR="6FD37E38" w:rsidRDefault="6FD37E38" w:rsidP="6FD37E38">
      <w:pPr>
        <w:rPr>
          <w:rFonts w:ascii="Aptos" w:hAnsi="Aptos" w:cs="Segoe UI"/>
          <w:color w:val="auto"/>
        </w:rPr>
      </w:pPr>
    </w:p>
    <w:p w14:paraId="04427D57"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Treatment may be stopped if there is significant scarring or damage and the physician believes there’s no further benefit. In other cases, disease activity can “burn out,” and after a careful discussion, some physicians may monitor without injections—though we’re cautious, especially if vision is still good. </w:t>
      </w:r>
    </w:p>
    <w:p w14:paraId="693B0158" w14:textId="7FCF39F5" w:rsidR="6FD37E38" w:rsidRDefault="6FD37E38" w:rsidP="6FD37E38">
      <w:pPr>
        <w:rPr>
          <w:rFonts w:ascii="Aptos" w:hAnsi="Aptos" w:cs="Segoe UI"/>
          <w:color w:val="auto"/>
        </w:rPr>
      </w:pPr>
    </w:p>
    <w:p w14:paraId="05CF1B25"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There are different treatment strategies: </w:t>
      </w:r>
    </w:p>
    <w:p w14:paraId="7551182E" w14:textId="77777777" w:rsidR="005C4248" w:rsidRPr="005C4248" w:rsidRDefault="005C4248" w:rsidP="6FD37E38">
      <w:pPr>
        <w:pStyle w:val="ListParagraph"/>
        <w:numPr>
          <w:ilvl w:val="0"/>
          <w:numId w:val="1"/>
        </w:numPr>
        <w:textAlignment w:val="baseline"/>
        <w:rPr>
          <w:rFonts w:ascii="Aptos" w:hAnsi="Aptos" w:cs="Segoe UI"/>
          <w:color w:val="auto"/>
        </w:rPr>
      </w:pPr>
      <w:r w:rsidRPr="6FD37E38">
        <w:rPr>
          <w:rFonts w:ascii="Aptos" w:hAnsi="Aptos" w:cs="Segoe UI"/>
          <w:b/>
          <w:bCs/>
          <w:color w:val="auto"/>
        </w:rPr>
        <w:t>Treat-and-extend</w:t>
      </w:r>
      <w:r w:rsidRPr="6FD37E38">
        <w:rPr>
          <w:rFonts w:ascii="Aptos" w:hAnsi="Aptos" w:cs="Segoe UI"/>
          <w:color w:val="auto"/>
        </w:rPr>
        <w:t>: start at 4-week intervals, then gradually extend if stable </w:t>
      </w:r>
    </w:p>
    <w:p w14:paraId="43199053" w14:textId="77777777" w:rsidR="005C4248" w:rsidRPr="005C4248" w:rsidRDefault="005C4248" w:rsidP="6FD37E38">
      <w:pPr>
        <w:pStyle w:val="ListParagraph"/>
        <w:numPr>
          <w:ilvl w:val="0"/>
          <w:numId w:val="1"/>
        </w:numPr>
        <w:textAlignment w:val="baseline"/>
        <w:rPr>
          <w:rFonts w:ascii="Aptos" w:hAnsi="Aptos" w:cs="Segoe UI"/>
          <w:color w:val="auto"/>
        </w:rPr>
      </w:pPr>
      <w:r w:rsidRPr="6FD37E38">
        <w:rPr>
          <w:rFonts w:ascii="Aptos" w:hAnsi="Aptos" w:cs="Segoe UI"/>
          <w:b/>
          <w:bCs/>
          <w:color w:val="auto"/>
        </w:rPr>
        <w:t>PRN (as needed)</w:t>
      </w:r>
      <w:r w:rsidRPr="6FD37E38">
        <w:rPr>
          <w:rFonts w:ascii="Aptos" w:hAnsi="Aptos" w:cs="Segoe UI"/>
          <w:color w:val="auto"/>
        </w:rPr>
        <w:t>: treat based on scan findings when activity appears </w:t>
      </w:r>
    </w:p>
    <w:p w14:paraId="0F0258F9" w14:textId="19EC8311" w:rsidR="6FD37E38" w:rsidRDefault="6FD37E38" w:rsidP="6FD37E38">
      <w:pPr>
        <w:rPr>
          <w:rFonts w:ascii="Aptos" w:hAnsi="Aptos" w:cs="Segoe UI"/>
          <w:color w:val="auto"/>
        </w:rPr>
      </w:pPr>
    </w:p>
    <w:p w14:paraId="46C2A47B"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Regarding drugs: </w:t>
      </w:r>
      <w:r w:rsidRPr="6FD37E38">
        <w:rPr>
          <w:rFonts w:ascii="Aptos" w:hAnsi="Aptos" w:cs="Segoe UI"/>
          <w:b/>
          <w:bCs/>
          <w:color w:val="auto"/>
        </w:rPr>
        <w:t>Avastin</w:t>
      </w:r>
      <w:r w:rsidRPr="6FD37E38">
        <w:rPr>
          <w:rFonts w:ascii="Aptos" w:hAnsi="Aptos" w:cs="Segoe UI"/>
          <w:color w:val="auto"/>
        </w:rPr>
        <w:t> was one of the earliest anti-VEGF treatments used in the eye (off-label), with extensive real-world experience. Newer agents can sometimes last longer. Options include drugs like </w:t>
      </w:r>
      <w:r w:rsidRPr="6FD37E38">
        <w:rPr>
          <w:rFonts w:ascii="Aptos" w:hAnsi="Aptos" w:cs="Segoe UI"/>
          <w:b/>
          <w:bCs/>
          <w:color w:val="auto"/>
        </w:rPr>
        <w:t>Eylea (aflibercept)</w:t>
      </w:r>
      <w:r w:rsidRPr="6FD37E38">
        <w:rPr>
          <w:rFonts w:ascii="Aptos" w:hAnsi="Aptos" w:cs="Segoe UI"/>
          <w:color w:val="auto"/>
        </w:rPr>
        <w:t> and newer second-generation anti-VEGF therapies such as </w:t>
      </w:r>
      <w:r w:rsidRPr="6FD37E38">
        <w:rPr>
          <w:rFonts w:ascii="Aptos" w:hAnsi="Aptos" w:cs="Segoe UI"/>
          <w:b/>
          <w:bCs/>
          <w:color w:val="auto"/>
        </w:rPr>
        <w:t>Vabysmo (faricimab)</w:t>
      </w:r>
      <w:r w:rsidRPr="6FD37E38">
        <w:rPr>
          <w:rFonts w:ascii="Aptos" w:hAnsi="Aptos" w:cs="Segoe UI"/>
          <w:color w:val="auto"/>
        </w:rPr>
        <w:t> and </w:t>
      </w:r>
      <w:r w:rsidRPr="6FD37E38">
        <w:rPr>
          <w:rFonts w:ascii="Aptos" w:hAnsi="Aptos" w:cs="Segoe UI"/>
          <w:b/>
          <w:bCs/>
          <w:color w:val="auto"/>
        </w:rPr>
        <w:t>Eylea HD</w:t>
      </w:r>
      <w:r w:rsidRPr="6FD37E38">
        <w:rPr>
          <w:rFonts w:ascii="Aptos" w:hAnsi="Aptos" w:cs="Segoe UI"/>
          <w:color w:val="auto"/>
        </w:rPr>
        <w:t> (higher-dose aflibercept), which may allow longer intervals for some patients. </w:t>
      </w:r>
    </w:p>
    <w:p w14:paraId="40D97F84" w14:textId="2A12A119" w:rsidR="6FD37E38" w:rsidRDefault="6FD37E38" w:rsidP="6FD37E38">
      <w:pPr>
        <w:rPr>
          <w:rFonts w:ascii="Aptos" w:hAnsi="Aptos" w:cs="Segoe UI"/>
          <w:color w:val="auto"/>
        </w:rPr>
      </w:pPr>
    </w:p>
    <w:p w14:paraId="342CE4D7"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None of these are “bad” therapies—it’s about what works best for each person, their response, and practical considerations. </w:t>
      </w:r>
    </w:p>
    <w:p w14:paraId="3953E3FF"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625E89F2" w14:textId="77777777" w:rsidR="005C4248" w:rsidRPr="005C4248" w:rsidRDefault="005C4248" w:rsidP="6FD37E38">
      <w:pPr>
        <w:pStyle w:val="Heading2"/>
        <w:rPr>
          <w:rFonts w:ascii="Segoe UI" w:hAnsi="Segoe UI"/>
          <w:sz w:val="18"/>
          <w:szCs w:val="18"/>
        </w:rPr>
      </w:pPr>
      <w:r>
        <w:t>Dry AMD Injections Available in the U.S.: Can Canadians Access Them? </w:t>
      </w:r>
    </w:p>
    <w:p w14:paraId="5547969B" w14:textId="77777777" w:rsidR="00BE21D5" w:rsidRDefault="00BE21D5" w:rsidP="005C4248">
      <w:pPr>
        <w:textAlignment w:val="baseline"/>
        <w:rPr>
          <w:rFonts w:ascii="Aptos" w:hAnsi="Aptos" w:cs="Segoe UI"/>
          <w:b/>
          <w:bCs/>
          <w:color w:val="auto"/>
          <w:szCs w:val="24"/>
        </w:rPr>
      </w:pPr>
    </w:p>
    <w:p w14:paraId="5FDF00B9" w14:textId="5995721D"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Some people are asking whether Canadians can access dry AMD injections by going to the U.S., or whether it’s better to wait. </w:t>
      </w:r>
    </w:p>
    <w:p w14:paraId="09F35AAC" w14:textId="77777777" w:rsidR="00BE21D5" w:rsidRDefault="00BE21D5" w:rsidP="005C4248">
      <w:pPr>
        <w:textAlignment w:val="baseline"/>
        <w:rPr>
          <w:rFonts w:ascii="Aptos" w:hAnsi="Aptos" w:cs="Segoe UI"/>
          <w:b/>
          <w:bCs/>
          <w:color w:val="auto"/>
          <w:szCs w:val="24"/>
        </w:rPr>
      </w:pPr>
    </w:p>
    <w:p w14:paraId="092BA40F" w14:textId="36698A81" w:rsidR="005C4248" w:rsidRPr="005C4248" w:rsidRDefault="005C4248" w:rsidP="005C4248">
      <w:pPr>
        <w:textAlignment w:val="baseline"/>
        <w:rPr>
          <w:rFonts w:ascii="Segoe UI" w:hAnsi="Segoe UI" w:cs="Segoe UI"/>
          <w:color w:val="auto"/>
          <w:sz w:val="18"/>
          <w:szCs w:val="18"/>
        </w:rPr>
      </w:pPr>
      <w:r w:rsidRPr="6FD37E38">
        <w:rPr>
          <w:rFonts w:ascii="Aptos" w:hAnsi="Aptos" w:cs="Segoe UI"/>
          <w:b/>
          <w:bCs/>
          <w:color w:val="auto"/>
        </w:rPr>
        <w:t>Dr. Shaheer Aboobaker:</w:t>
      </w:r>
      <w:r w:rsidRPr="6FD37E38">
        <w:rPr>
          <w:rFonts w:ascii="Aptos" w:hAnsi="Aptos" w:cs="Segoe UI"/>
          <w:color w:val="auto"/>
        </w:rPr>
        <w:t> Some patients do travel to the U.S. and pay out of pocket. It’s expensive—my understanding is roughly $2,200 USD per injection, plus travel, imaging, and physician fees. Depending on dosing, that can add up quickly. </w:t>
      </w:r>
    </w:p>
    <w:p w14:paraId="19816759" w14:textId="4B51EFB1" w:rsidR="6FD37E38" w:rsidRDefault="6FD37E38" w:rsidP="6FD37E38">
      <w:pPr>
        <w:rPr>
          <w:rFonts w:ascii="Aptos" w:hAnsi="Aptos" w:cs="Segoe UI"/>
          <w:color w:val="auto"/>
        </w:rPr>
      </w:pPr>
    </w:p>
    <w:p w14:paraId="6A4187AC" w14:textId="77777777" w:rsidR="005C4248" w:rsidRPr="005C4248" w:rsidRDefault="005C4248" w:rsidP="005C4248">
      <w:pPr>
        <w:textAlignment w:val="baseline"/>
        <w:rPr>
          <w:rFonts w:ascii="Segoe UI" w:hAnsi="Segoe UI" w:cs="Segoe UI"/>
          <w:color w:val="auto"/>
          <w:sz w:val="18"/>
          <w:szCs w:val="18"/>
        </w:rPr>
      </w:pPr>
      <w:r w:rsidRPr="6FD37E38">
        <w:rPr>
          <w:rFonts w:ascii="Aptos" w:hAnsi="Aptos" w:cs="Segoe UI"/>
          <w:color w:val="auto"/>
        </w:rPr>
        <w:t>Another option is Health Canada’s </w:t>
      </w:r>
      <w:r w:rsidRPr="6FD37E38">
        <w:rPr>
          <w:rFonts w:ascii="Aptos" w:hAnsi="Aptos" w:cs="Segoe UI"/>
          <w:b/>
          <w:bCs/>
          <w:color w:val="auto"/>
        </w:rPr>
        <w:t>Special Access</w:t>
      </w:r>
      <w:r w:rsidRPr="6FD37E38">
        <w:rPr>
          <w:rFonts w:ascii="Aptos" w:hAnsi="Aptos" w:cs="Segoe UI"/>
          <w:color w:val="auto"/>
        </w:rPr>
        <w:t> pathway for drugs approved elsewhere. I had a patient who pursued this. They still paid out of pocket, including courier fees, but were able to receive treatment here through that process. It’s too early to say how effective it’s been for them. </w:t>
      </w:r>
    </w:p>
    <w:p w14:paraId="6D744A27" w14:textId="315FF7AB" w:rsidR="6FD37E38" w:rsidRDefault="6FD37E38" w:rsidP="6FD37E38">
      <w:pPr>
        <w:rPr>
          <w:rFonts w:ascii="Aptos" w:hAnsi="Aptos" w:cs="Segoe UI"/>
          <w:color w:val="auto"/>
        </w:rPr>
      </w:pPr>
    </w:p>
    <w:p w14:paraId="6EFEC279"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Health Canada’s review has been ongoing, with back-and-forth with the company. I don’t think it’s too far away, but timing is uncertain. After approval, coverage and reimbursement can still take time. </w:t>
      </w:r>
    </w:p>
    <w:p w14:paraId="4D54D1A9" w14:textId="77777777" w:rsidR="00BE21D5" w:rsidRDefault="00BE21D5" w:rsidP="005C4248">
      <w:pPr>
        <w:textAlignment w:val="baseline"/>
        <w:rPr>
          <w:rFonts w:ascii="Aptos" w:hAnsi="Aptos" w:cs="Segoe UI"/>
          <w:b/>
          <w:bCs/>
          <w:color w:val="0F4761"/>
          <w:sz w:val="28"/>
          <w:szCs w:val="28"/>
        </w:rPr>
      </w:pPr>
    </w:p>
    <w:p w14:paraId="3E7798DD" w14:textId="57EA29DC" w:rsidR="005C4248" w:rsidRPr="005C4248" w:rsidRDefault="005C4248" w:rsidP="6FD37E38">
      <w:pPr>
        <w:pStyle w:val="Heading2"/>
        <w:rPr>
          <w:rFonts w:ascii="Segoe UI" w:hAnsi="Segoe UI"/>
          <w:sz w:val="18"/>
          <w:szCs w:val="18"/>
        </w:rPr>
      </w:pPr>
      <w:r>
        <w:t>Can AMD Affect Only One Eye? </w:t>
      </w:r>
    </w:p>
    <w:p w14:paraId="678181BA" w14:textId="77777777" w:rsidR="00BE21D5" w:rsidRDefault="00BE21D5" w:rsidP="005C4248">
      <w:pPr>
        <w:textAlignment w:val="baseline"/>
        <w:rPr>
          <w:rFonts w:ascii="Aptos" w:hAnsi="Aptos" w:cs="Segoe UI"/>
          <w:b/>
          <w:bCs/>
          <w:color w:val="auto"/>
          <w:szCs w:val="24"/>
        </w:rPr>
      </w:pPr>
    </w:p>
    <w:p w14:paraId="0D302856" w14:textId="49FC1A15"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Can someone have AMD in one eye and not the other? </w:t>
      </w:r>
    </w:p>
    <w:p w14:paraId="2573FE5E" w14:textId="77777777" w:rsidR="00BE21D5" w:rsidRDefault="00BE21D5" w:rsidP="005C4248">
      <w:pPr>
        <w:textAlignment w:val="baseline"/>
        <w:rPr>
          <w:rFonts w:ascii="Aptos" w:hAnsi="Aptos" w:cs="Segoe UI"/>
          <w:b/>
          <w:bCs/>
          <w:color w:val="auto"/>
          <w:szCs w:val="24"/>
        </w:rPr>
      </w:pPr>
    </w:p>
    <w:p w14:paraId="0B881AC0" w14:textId="6E5A9E33"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AMD is generally a bilateral condition, but it can be asymmetric. You might see early disease in one eye and not obvious signs in the other. Over time, it often develops in both eyes, but severity can differ. </w:t>
      </w:r>
    </w:p>
    <w:p w14:paraId="7F76F15E"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11169724" w14:textId="77777777" w:rsidR="005C4248" w:rsidRPr="005C4248" w:rsidRDefault="005C4248" w:rsidP="6FD37E38">
      <w:pPr>
        <w:pStyle w:val="Heading2"/>
        <w:rPr>
          <w:rFonts w:ascii="Segoe UI" w:hAnsi="Segoe UI"/>
          <w:sz w:val="18"/>
          <w:szCs w:val="18"/>
        </w:rPr>
      </w:pPr>
      <w:r>
        <w:t>Will Everyone with Dry AMD Develop Wet AMD? </w:t>
      </w:r>
    </w:p>
    <w:p w14:paraId="4B532F8E" w14:textId="21A0EFAF" w:rsidR="6FD37E38" w:rsidRDefault="6FD37E38" w:rsidP="6FD37E38">
      <w:pPr>
        <w:rPr>
          <w:rFonts w:ascii="Aptos" w:hAnsi="Aptos" w:cs="Segoe UI"/>
          <w:b/>
          <w:bCs/>
          <w:color w:val="auto"/>
        </w:rPr>
      </w:pPr>
    </w:p>
    <w:p w14:paraId="2AB0FA73"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Last question: will everyone develop wet AMD? </w:t>
      </w:r>
    </w:p>
    <w:p w14:paraId="7F05887A" w14:textId="77777777" w:rsidR="00BE21D5" w:rsidRDefault="00BE21D5" w:rsidP="005C4248">
      <w:pPr>
        <w:textAlignment w:val="baseline"/>
        <w:rPr>
          <w:rFonts w:ascii="Aptos" w:hAnsi="Aptos" w:cs="Segoe UI"/>
          <w:b/>
          <w:bCs/>
          <w:color w:val="auto"/>
          <w:szCs w:val="24"/>
        </w:rPr>
      </w:pPr>
    </w:p>
    <w:p w14:paraId="6284D45C" w14:textId="6DF22F17"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Dr. Shaheer Aboobaker:</w:t>
      </w:r>
      <w:r w:rsidRPr="005C4248">
        <w:rPr>
          <w:rFonts w:ascii="Aptos" w:hAnsi="Aptos" w:cs="Segoe UI"/>
          <w:color w:val="auto"/>
          <w:szCs w:val="24"/>
        </w:rPr>
        <w:t> No. Studies suggest about </w:t>
      </w:r>
      <w:r w:rsidRPr="005C4248">
        <w:rPr>
          <w:rFonts w:ascii="Aptos" w:hAnsi="Aptos" w:cs="Segoe UI"/>
          <w:b/>
          <w:bCs/>
          <w:color w:val="auto"/>
          <w:szCs w:val="24"/>
        </w:rPr>
        <w:t>10–15%</w:t>
      </w:r>
      <w:r w:rsidRPr="005C4248">
        <w:rPr>
          <w:rFonts w:ascii="Aptos" w:hAnsi="Aptos" w:cs="Segoe UI"/>
          <w:color w:val="auto"/>
          <w:szCs w:val="24"/>
        </w:rPr>
        <w:t> of people with dry AMD develop wet AMD. </w:t>
      </w:r>
    </w:p>
    <w:p w14:paraId="1CD3AB4F"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It’s also important to remember that dry AMD isn’t benign. It’s serious—it’s just that we’ve historically had fewer treatment options. As treatments become available, it will be important for patients to re-engage with retina specialists to see what might help. </w:t>
      </w:r>
    </w:p>
    <w:p w14:paraId="7F5FC006"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1756AD94"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b/>
          <w:bCs/>
          <w:color w:val="auto"/>
          <w:szCs w:val="24"/>
        </w:rPr>
        <w:t>Morgan Ineson:</w:t>
      </w:r>
      <w:r w:rsidRPr="005C4248">
        <w:rPr>
          <w:rFonts w:ascii="Aptos" w:hAnsi="Aptos" w:cs="Segoe UI"/>
          <w:color w:val="auto"/>
          <w:szCs w:val="24"/>
        </w:rPr>
        <w:t> Thank you so much, Dr. Aboobaker. </w:t>
      </w:r>
    </w:p>
    <w:p w14:paraId="734DC2EE" w14:textId="77777777" w:rsidR="005C4248" w:rsidRPr="005C4248" w:rsidRDefault="005C4248" w:rsidP="005C4248">
      <w:pPr>
        <w:textAlignment w:val="baseline"/>
        <w:rPr>
          <w:rFonts w:ascii="Segoe UI" w:hAnsi="Segoe UI" w:cs="Segoe UI"/>
          <w:color w:val="auto"/>
          <w:sz w:val="18"/>
          <w:szCs w:val="18"/>
        </w:rPr>
      </w:pPr>
      <w:r w:rsidRPr="005C4248">
        <w:rPr>
          <w:rFonts w:ascii="Aptos" w:hAnsi="Aptos" w:cs="Segoe UI"/>
          <w:color w:val="auto"/>
          <w:szCs w:val="24"/>
        </w:rPr>
        <w:t> </w:t>
      </w:r>
    </w:p>
    <w:p w14:paraId="7F95F76E" w14:textId="5274F33F" w:rsidR="4875D3CD" w:rsidRDefault="4875D3CD" w:rsidP="4875D3CD">
      <w:pPr>
        <w:rPr>
          <w:rFonts w:ascii="Aptos" w:eastAsia="Aptos" w:hAnsi="Aptos" w:cs="Aptos"/>
          <w:color w:val="auto"/>
        </w:rPr>
      </w:pPr>
    </w:p>
    <w:sectPr w:rsidR="4875D3CD" w:rsidSect="008E6DC2">
      <w:headerReference w:type="default" r:id="rId11"/>
      <w:footerReference w:type="default" r:id="rId1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A9CA4" w14:textId="77777777" w:rsidR="00772028" w:rsidRDefault="00772028" w:rsidP="000B1565">
      <w:r>
        <w:separator/>
      </w:r>
    </w:p>
  </w:endnote>
  <w:endnote w:type="continuationSeparator" w:id="0">
    <w:p w14:paraId="58D0021C" w14:textId="77777777" w:rsidR="00772028" w:rsidRDefault="00772028"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otham">
    <w:altName w:val="Calibri"/>
    <w:charset w:val="00"/>
    <w:family w:val="auto"/>
    <w:pitch w:val="variable"/>
    <w:sig w:usb0="800000A7" w:usb1="00000000" w:usb2="00000000" w:usb3="00000000" w:csb0="00000009"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8240"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8D676" w14:textId="77777777" w:rsidR="00772028" w:rsidRDefault="00772028" w:rsidP="000B1565">
      <w:r>
        <w:separator/>
      </w:r>
    </w:p>
  </w:footnote>
  <w:footnote w:type="continuationSeparator" w:id="0">
    <w:p w14:paraId="4107BAA4" w14:textId="77777777" w:rsidR="00772028" w:rsidRDefault="00772028"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02FADA4E">
          <wp:extent cx="1733550" cy="933450"/>
          <wp:effectExtent l="0" t="0" r="0" b="0"/>
          <wp:docPr id="2111265149" name="Picture 2" descr="Fighting Blindness Cana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Fighting Blindness Canada Logo"/>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D355B"/>
    <w:multiLevelType w:val="hybridMultilevel"/>
    <w:tmpl w:val="FFFFFFFF"/>
    <w:lvl w:ilvl="0" w:tplc="3878B83C">
      <w:start w:val="1"/>
      <w:numFmt w:val="bullet"/>
      <w:lvlText w:val=""/>
      <w:lvlJc w:val="left"/>
      <w:pPr>
        <w:ind w:left="720" w:hanging="360"/>
      </w:pPr>
      <w:rPr>
        <w:rFonts w:ascii="Symbol" w:hAnsi="Symbol" w:hint="default"/>
      </w:rPr>
    </w:lvl>
    <w:lvl w:ilvl="1" w:tplc="5E5C85B2">
      <w:start w:val="1"/>
      <w:numFmt w:val="bullet"/>
      <w:lvlText w:val="o"/>
      <w:lvlJc w:val="left"/>
      <w:pPr>
        <w:ind w:left="1440" w:hanging="360"/>
      </w:pPr>
      <w:rPr>
        <w:rFonts w:ascii="Courier New" w:hAnsi="Courier New" w:hint="default"/>
      </w:rPr>
    </w:lvl>
    <w:lvl w:ilvl="2" w:tplc="A2867A9E">
      <w:start w:val="1"/>
      <w:numFmt w:val="bullet"/>
      <w:lvlText w:val=""/>
      <w:lvlJc w:val="left"/>
      <w:pPr>
        <w:ind w:left="2160" w:hanging="360"/>
      </w:pPr>
      <w:rPr>
        <w:rFonts w:ascii="Wingdings" w:hAnsi="Wingdings" w:hint="default"/>
      </w:rPr>
    </w:lvl>
    <w:lvl w:ilvl="3" w:tplc="785618D0">
      <w:start w:val="1"/>
      <w:numFmt w:val="bullet"/>
      <w:lvlText w:val=""/>
      <w:lvlJc w:val="left"/>
      <w:pPr>
        <w:ind w:left="2880" w:hanging="360"/>
      </w:pPr>
      <w:rPr>
        <w:rFonts w:ascii="Symbol" w:hAnsi="Symbol" w:hint="default"/>
      </w:rPr>
    </w:lvl>
    <w:lvl w:ilvl="4" w:tplc="54C20266">
      <w:start w:val="1"/>
      <w:numFmt w:val="bullet"/>
      <w:lvlText w:val="o"/>
      <w:lvlJc w:val="left"/>
      <w:pPr>
        <w:ind w:left="3600" w:hanging="360"/>
      </w:pPr>
      <w:rPr>
        <w:rFonts w:ascii="Courier New" w:hAnsi="Courier New" w:hint="default"/>
      </w:rPr>
    </w:lvl>
    <w:lvl w:ilvl="5" w:tplc="40B820CE">
      <w:start w:val="1"/>
      <w:numFmt w:val="bullet"/>
      <w:lvlText w:val=""/>
      <w:lvlJc w:val="left"/>
      <w:pPr>
        <w:ind w:left="4320" w:hanging="360"/>
      </w:pPr>
      <w:rPr>
        <w:rFonts w:ascii="Wingdings" w:hAnsi="Wingdings" w:hint="default"/>
      </w:rPr>
    </w:lvl>
    <w:lvl w:ilvl="6" w:tplc="C354FB66">
      <w:start w:val="1"/>
      <w:numFmt w:val="bullet"/>
      <w:lvlText w:val=""/>
      <w:lvlJc w:val="left"/>
      <w:pPr>
        <w:ind w:left="5040" w:hanging="360"/>
      </w:pPr>
      <w:rPr>
        <w:rFonts w:ascii="Symbol" w:hAnsi="Symbol" w:hint="default"/>
      </w:rPr>
    </w:lvl>
    <w:lvl w:ilvl="7" w:tplc="114ABFF2">
      <w:start w:val="1"/>
      <w:numFmt w:val="bullet"/>
      <w:lvlText w:val="o"/>
      <w:lvlJc w:val="left"/>
      <w:pPr>
        <w:ind w:left="5760" w:hanging="360"/>
      </w:pPr>
      <w:rPr>
        <w:rFonts w:ascii="Courier New" w:hAnsi="Courier New" w:hint="default"/>
      </w:rPr>
    </w:lvl>
    <w:lvl w:ilvl="8" w:tplc="50DA4ECE">
      <w:start w:val="1"/>
      <w:numFmt w:val="bullet"/>
      <w:lvlText w:val=""/>
      <w:lvlJc w:val="left"/>
      <w:pPr>
        <w:ind w:left="6480" w:hanging="360"/>
      </w:pPr>
      <w:rPr>
        <w:rFonts w:ascii="Wingdings" w:hAnsi="Wingdings" w:hint="default"/>
      </w:rPr>
    </w:lvl>
  </w:abstractNum>
  <w:abstractNum w:abstractNumId="1" w15:restartNumberingAfterBreak="0">
    <w:nsid w:val="15636348"/>
    <w:multiLevelType w:val="hybridMultilevel"/>
    <w:tmpl w:val="FFFFFFFF"/>
    <w:lvl w:ilvl="0" w:tplc="377C165E">
      <w:start w:val="1"/>
      <w:numFmt w:val="bullet"/>
      <w:lvlText w:val=""/>
      <w:lvlJc w:val="left"/>
      <w:pPr>
        <w:ind w:left="720" w:hanging="360"/>
      </w:pPr>
      <w:rPr>
        <w:rFonts w:ascii="Symbol" w:hAnsi="Symbol" w:hint="default"/>
      </w:rPr>
    </w:lvl>
    <w:lvl w:ilvl="1" w:tplc="5CCC8E66">
      <w:start w:val="1"/>
      <w:numFmt w:val="bullet"/>
      <w:lvlText w:val="o"/>
      <w:lvlJc w:val="left"/>
      <w:pPr>
        <w:ind w:left="1440" w:hanging="360"/>
      </w:pPr>
      <w:rPr>
        <w:rFonts w:ascii="Courier New" w:hAnsi="Courier New" w:hint="default"/>
      </w:rPr>
    </w:lvl>
    <w:lvl w:ilvl="2" w:tplc="70EA3CD2">
      <w:start w:val="1"/>
      <w:numFmt w:val="bullet"/>
      <w:lvlText w:val=""/>
      <w:lvlJc w:val="left"/>
      <w:pPr>
        <w:ind w:left="2160" w:hanging="360"/>
      </w:pPr>
      <w:rPr>
        <w:rFonts w:ascii="Wingdings" w:hAnsi="Wingdings" w:hint="default"/>
      </w:rPr>
    </w:lvl>
    <w:lvl w:ilvl="3" w:tplc="CF20B356">
      <w:start w:val="1"/>
      <w:numFmt w:val="bullet"/>
      <w:lvlText w:val=""/>
      <w:lvlJc w:val="left"/>
      <w:pPr>
        <w:ind w:left="2880" w:hanging="360"/>
      </w:pPr>
      <w:rPr>
        <w:rFonts w:ascii="Symbol" w:hAnsi="Symbol" w:hint="default"/>
      </w:rPr>
    </w:lvl>
    <w:lvl w:ilvl="4" w:tplc="7FD0BD0E">
      <w:start w:val="1"/>
      <w:numFmt w:val="bullet"/>
      <w:lvlText w:val="o"/>
      <w:lvlJc w:val="left"/>
      <w:pPr>
        <w:ind w:left="3600" w:hanging="360"/>
      </w:pPr>
      <w:rPr>
        <w:rFonts w:ascii="Courier New" w:hAnsi="Courier New" w:hint="default"/>
      </w:rPr>
    </w:lvl>
    <w:lvl w:ilvl="5" w:tplc="493C09DE">
      <w:start w:val="1"/>
      <w:numFmt w:val="bullet"/>
      <w:lvlText w:val=""/>
      <w:lvlJc w:val="left"/>
      <w:pPr>
        <w:ind w:left="4320" w:hanging="360"/>
      </w:pPr>
      <w:rPr>
        <w:rFonts w:ascii="Wingdings" w:hAnsi="Wingdings" w:hint="default"/>
      </w:rPr>
    </w:lvl>
    <w:lvl w:ilvl="6" w:tplc="E19464DE">
      <w:start w:val="1"/>
      <w:numFmt w:val="bullet"/>
      <w:lvlText w:val=""/>
      <w:lvlJc w:val="left"/>
      <w:pPr>
        <w:ind w:left="5040" w:hanging="360"/>
      </w:pPr>
      <w:rPr>
        <w:rFonts w:ascii="Symbol" w:hAnsi="Symbol" w:hint="default"/>
      </w:rPr>
    </w:lvl>
    <w:lvl w:ilvl="7" w:tplc="ED4E8E50">
      <w:start w:val="1"/>
      <w:numFmt w:val="bullet"/>
      <w:lvlText w:val="o"/>
      <w:lvlJc w:val="left"/>
      <w:pPr>
        <w:ind w:left="5760" w:hanging="360"/>
      </w:pPr>
      <w:rPr>
        <w:rFonts w:ascii="Courier New" w:hAnsi="Courier New" w:hint="default"/>
      </w:rPr>
    </w:lvl>
    <w:lvl w:ilvl="8" w:tplc="3E9EBD6A">
      <w:start w:val="1"/>
      <w:numFmt w:val="bullet"/>
      <w:lvlText w:val=""/>
      <w:lvlJc w:val="left"/>
      <w:pPr>
        <w:ind w:left="6480" w:hanging="360"/>
      </w:pPr>
      <w:rPr>
        <w:rFonts w:ascii="Wingdings" w:hAnsi="Wingdings" w:hint="default"/>
      </w:rPr>
    </w:lvl>
  </w:abstractNum>
  <w:abstractNum w:abstractNumId="2" w15:restartNumberingAfterBreak="0">
    <w:nsid w:val="17BA7B0A"/>
    <w:multiLevelType w:val="multilevel"/>
    <w:tmpl w:val="EE5A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7E5931"/>
    <w:multiLevelType w:val="multilevel"/>
    <w:tmpl w:val="D654F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AB28F9"/>
    <w:multiLevelType w:val="multilevel"/>
    <w:tmpl w:val="1CF4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6B5006"/>
    <w:multiLevelType w:val="multilevel"/>
    <w:tmpl w:val="662AB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2402F0"/>
    <w:multiLevelType w:val="multilevel"/>
    <w:tmpl w:val="C8E44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92598A"/>
    <w:multiLevelType w:val="multilevel"/>
    <w:tmpl w:val="844C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27D0A24"/>
    <w:multiLevelType w:val="multilevel"/>
    <w:tmpl w:val="75D6F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2EC1396"/>
    <w:multiLevelType w:val="multilevel"/>
    <w:tmpl w:val="160AE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6C26E9"/>
    <w:multiLevelType w:val="multilevel"/>
    <w:tmpl w:val="D19A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9F01C2E"/>
    <w:multiLevelType w:val="multilevel"/>
    <w:tmpl w:val="95240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B86E0A2"/>
    <w:multiLevelType w:val="hybridMultilevel"/>
    <w:tmpl w:val="FFFFFFFF"/>
    <w:lvl w:ilvl="0" w:tplc="554A7724">
      <w:start w:val="1"/>
      <w:numFmt w:val="bullet"/>
      <w:lvlText w:val=""/>
      <w:lvlJc w:val="left"/>
      <w:pPr>
        <w:ind w:left="720" w:hanging="360"/>
      </w:pPr>
      <w:rPr>
        <w:rFonts w:ascii="Symbol" w:hAnsi="Symbol" w:hint="default"/>
      </w:rPr>
    </w:lvl>
    <w:lvl w:ilvl="1" w:tplc="2A2AF390">
      <w:start w:val="1"/>
      <w:numFmt w:val="bullet"/>
      <w:lvlText w:val="o"/>
      <w:lvlJc w:val="left"/>
      <w:pPr>
        <w:ind w:left="1440" w:hanging="360"/>
      </w:pPr>
      <w:rPr>
        <w:rFonts w:ascii="Courier New" w:hAnsi="Courier New" w:hint="default"/>
      </w:rPr>
    </w:lvl>
    <w:lvl w:ilvl="2" w:tplc="775A2B72">
      <w:start w:val="1"/>
      <w:numFmt w:val="bullet"/>
      <w:lvlText w:val=""/>
      <w:lvlJc w:val="left"/>
      <w:pPr>
        <w:ind w:left="2160" w:hanging="360"/>
      </w:pPr>
      <w:rPr>
        <w:rFonts w:ascii="Wingdings" w:hAnsi="Wingdings" w:hint="default"/>
      </w:rPr>
    </w:lvl>
    <w:lvl w:ilvl="3" w:tplc="0C3A6B7A">
      <w:start w:val="1"/>
      <w:numFmt w:val="bullet"/>
      <w:lvlText w:val=""/>
      <w:lvlJc w:val="left"/>
      <w:pPr>
        <w:ind w:left="2880" w:hanging="360"/>
      </w:pPr>
      <w:rPr>
        <w:rFonts w:ascii="Symbol" w:hAnsi="Symbol" w:hint="default"/>
      </w:rPr>
    </w:lvl>
    <w:lvl w:ilvl="4" w:tplc="B6823E7C">
      <w:start w:val="1"/>
      <w:numFmt w:val="bullet"/>
      <w:lvlText w:val="o"/>
      <w:lvlJc w:val="left"/>
      <w:pPr>
        <w:ind w:left="3600" w:hanging="360"/>
      </w:pPr>
      <w:rPr>
        <w:rFonts w:ascii="Courier New" w:hAnsi="Courier New" w:hint="default"/>
      </w:rPr>
    </w:lvl>
    <w:lvl w:ilvl="5" w:tplc="74A4557A">
      <w:start w:val="1"/>
      <w:numFmt w:val="bullet"/>
      <w:lvlText w:val=""/>
      <w:lvlJc w:val="left"/>
      <w:pPr>
        <w:ind w:left="4320" w:hanging="360"/>
      </w:pPr>
      <w:rPr>
        <w:rFonts w:ascii="Wingdings" w:hAnsi="Wingdings" w:hint="default"/>
      </w:rPr>
    </w:lvl>
    <w:lvl w:ilvl="6" w:tplc="95964A14">
      <w:start w:val="1"/>
      <w:numFmt w:val="bullet"/>
      <w:lvlText w:val=""/>
      <w:lvlJc w:val="left"/>
      <w:pPr>
        <w:ind w:left="5040" w:hanging="360"/>
      </w:pPr>
      <w:rPr>
        <w:rFonts w:ascii="Symbol" w:hAnsi="Symbol" w:hint="default"/>
      </w:rPr>
    </w:lvl>
    <w:lvl w:ilvl="7" w:tplc="60646C36">
      <w:start w:val="1"/>
      <w:numFmt w:val="bullet"/>
      <w:lvlText w:val="o"/>
      <w:lvlJc w:val="left"/>
      <w:pPr>
        <w:ind w:left="5760" w:hanging="360"/>
      </w:pPr>
      <w:rPr>
        <w:rFonts w:ascii="Courier New" w:hAnsi="Courier New" w:hint="default"/>
      </w:rPr>
    </w:lvl>
    <w:lvl w:ilvl="8" w:tplc="CA26ABBC">
      <w:start w:val="1"/>
      <w:numFmt w:val="bullet"/>
      <w:lvlText w:val=""/>
      <w:lvlJc w:val="left"/>
      <w:pPr>
        <w:ind w:left="6480" w:hanging="360"/>
      </w:pPr>
      <w:rPr>
        <w:rFonts w:ascii="Wingdings" w:hAnsi="Wingdings" w:hint="default"/>
      </w:rPr>
    </w:lvl>
  </w:abstractNum>
  <w:abstractNum w:abstractNumId="13" w15:restartNumberingAfterBreak="0">
    <w:nsid w:val="606D04DE"/>
    <w:multiLevelType w:val="multilevel"/>
    <w:tmpl w:val="D3CA9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EDF1D92"/>
    <w:multiLevelType w:val="multilevel"/>
    <w:tmpl w:val="38020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65649451">
    <w:abstractNumId w:val="0"/>
  </w:num>
  <w:num w:numId="2" w16cid:durableId="1884554609">
    <w:abstractNumId w:val="1"/>
  </w:num>
  <w:num w:numId="3" w16cid:durableId="673610998">
    <w:abstractNumId w:val="12"/>
  </w:num>
  <w:num w:numId="4" w16cid:durableId="1815024027">
    <w:abstractNumId w:val="4"/>
  </w:num>
  <w:num w:numId="5" w16cid:durableId="1625648936">
    <w:abstractNumId w:val="6"/>
  </w:num>
  <w:num w:numId="6" w16cid:durableId="1526477918">
    <w:abstractNumId w:val="2"/>
  </w:num>
  <w:num w:numId="7" w16cid:durableId="1666547101">
    <w:abstractNumId w:val="5"/>
  </w:num>
  <w:num w:numId="8" w16cid:durableId="1619684095">
    <w:abstractNumId w:val="7"/>
  </w:num>
  <w:num w:numId="9" w16cid:durableId="678317950">
    <w:abstractNumId w:val="3"/>
  </w:num>
  <w:num w:numId="10" w16cid:durableId="274294576">
    <w:abstractNumId w:val="10"/>
  </w:num>
  <w:num w:numId="11" w16cid:durableId="1349214927">
    <w:abstractNumId w:val="11"/>
  </w:num>
  <w:num w:numId="12" w16cid:durableId="654602022">
    <w:abstractNumId w:val="14"/>
  </w:num>
  <w:num w:numId="13" w16cid:durableId="1555120300">
    <w:abstractNumId w:val="9"/>
  </w:num>
  <w:num w:numId="14" w16cid:durableId="1280601597">
    <w:abstractNumId w:val="8"/>
  </w:num>
  <w:num w:numId="15" w16cid:durableId="1832479003">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844F8"/>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C2F8B"/>
    <w:rsid w:val="001D5FDE"/>
    <w:rsid w:val="001F2A6A"/>
    <w:rsid w:val="001F2BC9"/>
    <w:rsid w:val="001F4409"/>
    <w:rsid w:val="001F7004"/>
    <w:rsid w:val="002203C7"/>
    <w:rsid w:val="00242CF0"/>
    <w:rsid w:val="0025621B"/>
    <w:rsid w:val="00256D60"/>
    <w:rsid w:val="00274757"/>
    <w:rsid w:val="00274F98"/>
    <w:rsid w:val="00275BC8"/>
    <w:rsid w:val="002948C6"/>
    <w:rsid w:val="002A0850"/>
    <w:rsid w:val="002B3091"/>
    <w:rsid w:val="002D15FA"/>
    <w:rsid w:val="002D3674"/>
    <w:rsid w:val="00312843"/>
    <w:rsid w:val="00320989"/>
    <w:rsid w:val="00325F88"/>
    <w:rsid w:val="00332997"/>
    <w:rsid w:val="00337CCE"/>
    <w:rsid w:val="00343306"/>
    <w:rsid w:val="00367A46"/>
    <w:rsid w:val="00370E8B"/>
    <w:rsid w:val="00377AA3"/>
    <w:rsid w:val="00387DCF"/>
    <w:rsid w:val="00390601"/>
    <w:rsid w:val="003927FB"/>
    <w:rsid w:val="00395FA4"/>
    <w:rsid w:val="003A0F72"/>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C4248"/>
    <w:rsid w:val="005E60E6"/>
    <w:rsid w:val="00614283"/>
    <w:rsid w:val="0063017D"/>
    <w:rsid w:val="00660794"/>
    <w:rsid w:val="00661C9D"/>
    <w:rsid w:val="00683FC0"/>
    <w:rsid w:val="006A189F"/>
    <w:rsid w:val="006A2CA9"/>
    <w:rsid w:val="006C35EE"/>
    <w:rsid w:val="006E0FA0"/>
    <w:rsid w:val="006E372F"/>
    <w:rsid w:val="006E76D2"/>
    <w:rsid w:val="00741192"/>
    <w:rsid w:val="00772028"/>
    <w:rsid w:val="0078332D"/>
    <w:rsid w:val="00792F4D"/>
    <w:rsid w:val="007D5663"/>
    <w:rsid w:val="007E2525"/>
    <w:rsid w:val="007F3381"/>
    <w:rsid w:val="007F5B30"/>
    <w:rsid w:val="008161AE"/>
    <w:rsid w:val="00826199"/>
    <w:rsid w:val="00840C2F"/>
    <w:rsid w:val="0084118E"/>
    <w:rsid w:val="008475E1"/>
    <w:rsid w:val="0085042B"/>
    <w:rsid w:val="008558BA"/>
    <w:rsid w:val="00871B8F"/>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222C8"/>
    <w:rsid w:val="00B34376"/>
    <w:rsid w:val="00B444AD"/>
    <w:rsid w:val="00B447EE"/>
    <w:rsid w:val="00B50882"/>
    <w:rsid w:val="00B5404C"/>
    <w:rsid w:val="00B56691"/>
    <w:rsid w:val="00B71D8B"/>
    <w:rsid w:val="00BE07CC"/>
    <w:rsid w:val="00BE1043"/>
    <w:rsid w:val="00BE21D5"/>
    <w:rsid w:val="00BE7F74"/>
    <w:rsid w:val="00BF41AB"/>
    <w:rsid w:val="00C13AD5"/>
    <w:rsid w:val="00C22B92"/>
    <w:rsid w:val="00C25969"/>
    <w:rsid w:val="00C27074"/>
    <w:rsid w:val="00C3599B"/>
    <w:rsid w:val="00C47898"/>
    <w:rsid w:val="00C5100D"/>
    <w:rsid w:val="00C6427D"/>
    <w:rsid w:val="00C70548"/>
    <w:rsid w:val="00CA332D"/>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91F74"/>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EE5E99"/>
    <w:rsid w:val="00F00D2D"/>
    <w:rsid w:val="00F2630E"/>
    <w:rsid w:val="00F45736"/>
    <w:rsid w:val="00F637E4"/>
    <w:rsid w:val="00F676F0"/>
    <w:rsid w:val="00F7194F"/>
    <w:rsid w:val="00F7717C"/>
    <w:rsid w:val="00F92DC7"/>
    <w:rsid w:val="00F95EA9"/>
    <w:rsid w:val="00FA70D8"/>
    <w:rsid w:val="00FB0E66"/>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6FD37E38"/>
    <w:rsid w:val="7AEF9E92"/>
    <w:rsid w:val="7F0C0036"/>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8AE14552-A25D-403A-BB4A-4471053BF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33648611">
              <w:marLeft w:val="0"/>
              <w:marRight w:val="0"/>
              <w:marTop w:val="0"/>
              <w:marBottom w:val="0"/>
              <w:divBdr>
                <w:top w:val="none" w:sz="0" w:space="0" w:color="auto"/>
                <w:left w:val="none" w:sz="0" w:space="0" w:color="auto"/>
                <w:bottom w:val="none" w:sz="0" w:space="0" w:color="auto"/>
                <w:right w:val="none" w:sz="0" w:space="0" w:color="auto"/>
              </w:divBdr>
            </w:div>
            <w:div w:id="173887387">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187647408">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96666916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581643349">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 w:id="1660765966">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Accessible%20FBC%20Branded%20(English%20&amp;%20French).dotx</Template>
  <TotalTime>0</TotalTime>
  <Pages>1</Pages>
  <Words>3556</Words>
  <Characters>20273</Characters>
  <Application>Microsoft Office Word</Application>
  <DocSecurity>4</DocSecurity>
  <Lines>168</Lines>
  <Paragraphs>47</Paragraphs>
  <ScaleCrop>false</ScaleCrop>
  <Company/>
  <LinksUpToDate>false</LinksUpToDate>
  <CharactersWithSpaces>23782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Morgan Ineson</cp:lastModifiedBy>
  <cp:revision>24</cp:revision>
  <cp:lastPrinted>2019-06-07T21:48:00Z</cp:lastPrinted>
  <dcterms:created xsi:type="dcterms:W3CDTF">2025-01-10T19:35:00Z</dcterms:created>
  <dcterms:modified xsi:type="dcterms:W3CDTF">2026-02-27T17:23:00Z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