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3C0BC" w14:textId="77777777" w:rsidR="00E91C88" w:rsidRDefault="00E91C88" w:rsidP="00E91C88">
      <w:pPr>
        <w:spacing w:after="160"/>
      </w:pPr>
      <w:r>
        <w:rPr>
          <w:rFonts w:ascii="Arial" w:eastAsia="Arial" w:hAnsi="Arial" w:cs="Arial"/>
          <w:b/>
          <w:bCs/>
          <w:caps/>
          <w:color w:val="1B2F6E"/>
          <w:sz w:val="28"/>
          <w:szCs w:val="28"/>
        </w:rPr>
        <w:t>AMD Coffee Connections – Vancouver: What You Need to Know</w:t>
      </w:r>
    </w:p>
    <w:p w14:paraId="6855B533" w14:textId="1CA98529" w:rsidR="00E91C88" w:rsidRDefault="00E91C88" w:rsidP="00E91C88">
      <w:pPr>
        <w:spacing w:after="240"/>
      </w:pPr>
      <w:r>
        <w:t xml:space="preserve">Below is a short summary of FBC’s </w:t>
      </w:r>
      <w:r>
        <w:rPr>
          <w:b/>
          <w:bCs/>
        </w:rPr>
        <w:t>Age-Related Macular Degeneration (AMD): Coffee Connections – Vancouver</w:t>
      </w:r>
      <w:r>
        <w:t xml:space="preserve">, which took place on April 9, 2026 and featured Dr. Michael Ballas and Dr. Joanne Matsubara. The full transcript can be found on our website. Visit us at </w:t>
      </w:r>
      <w:hyperlink r:id="rId11" w:history="1">
        <w:r>
          <w:rPr>
            <w:rStyle w:val="Hyperlink"/>
          </w:rPr>
          <w:t>fightingblindness.ca</w:t>
        </w:r>
      </w:hyperlink>
      <w:r>
        <w:t xml:space="preserve"> to discover more!</w:t>
      </w:r>
    </w:p>
    <w:p w14:paraId="35E26F0A" w14:textId="45ABFA03" w:rsidR="00D717DF" w:rsidRDefault="00D717DF" w:rsidP="00E91C88">
      <w:pPr>
        <w:spacing w:after="240"/>
      </w:pPr>
      <w:r w:rsidRPr="00D717DF">
        <w:t xml:space="preserve">If you have questions about your diagnosis or would like support finding resources, please contact the Fighting Blindness Canada Health Information Line at </w:t>
      </w:r>
      <w:hyperlink r:id="rId12" w:history="1">
        <w:r w:rsidRPr="00D717DF">
          <w:rPr>
            <w:rStyle w:val="Hyperlink"/>
            <w:b/>
            <w:bCs/>
          </w:rPr>
          <w:t>healthinfo@fightingblindness.ca</w:t>
        </w:r>
      </w:hyperlink>
      <w:r w:rsidRPr="00D717DF">
        <w:t xml:space="preserve"> or by phone. Our team is available to help you navigate your condition, find relevant clinical trials, and connect you with trusted information and support.</w:t>
      </w:r>
    </w:p>
    <w:p w14:paraId="3B155B9D" w14:textId="77777777" w:rsidR="00E91C88" w:rsidRDefault="00E91C88" w:rsidP="00E91C88">
      <w:pPr>
        <w:pStyle w:val="Heading2"/>
      </w:pPr>
      <w:r>
        <w:t>What Is AMD?</w:t>
      </w:r>
    </w:p>
    <w:p w14:paraId="3D687A11" w14:textId="77777777" w:rsidR="00E91C88" w:rsidRDefault="00E91C88" w:rsidP="00E91C88">
      <w:pPr>
        <w:spacing w:after="120"/>
      </w:pPr>
      <w:r>
        <w:t>Age-related macular degeneration (AMD) is an eye condition that affects the macula — the central part of the retina responsible for fine central vision, such as reading, recognizing faces, and seeing detail.</w:t>
      </w:r>
    </w:p>
    <w:p w14:paraId="6C1FA475" w14:textId="77777777" w:rsidR="00E91C88" w:rsidRDefault="00E91C88" w:rsidP="00E91C88">
      <w:pPr>
        <w:spacing w:after="120"/>
      </w:pPr>
      <w:r>
        <w:t>There are two main types:</w:t>
      </w:r>
    </w:p>
    <w:p w14:paraId="14F504E2" w14:textId="77777777" w:rsidR="00E91C88" w:rsidRDefault="00E91C88" w:rsidP="00E91C88">
      <w:pPr>
        <w:pStyle w:val="ListParagraph"/>
        <w:numPr>
          <w:ilvl w:val="0"/>
          <w:numId w:val="67"/>
        </w:numPr>
        <w:spacing w:after="80"/>
        <w:contextualSpacing w:val="0"/>
      </w:pPr>
      <w:r>
        <w:rPr>
          <w:b/>
          <w:bCs/>
        </w:rPr>
        <w:t xml:space="preserve">Dry AMD – </w:t>
      </w:r>
      <w:r>
        <w:t>the most common form (85–90% of cases); a slow degenerative process where waste products called drusen accumulate beneath the macula and the cells gradually thin out. Many people live with early or intermediate stages for years without dramatic vision loss.</w:t>
      </w:r>
    </w:p>
    <w:p w14:paraId="16C906A1" w14:textId="77777777" w:rsidR="00E91C88" w:rsidRDefault="00E91C88" w:rsidP="00E91C88">
      <w:pPr>
        <w:pStyle w:val="ListParagraph"/>
        <w:numPr>
          <w:ilvl w:val="0"/>
          <w:numId w:val="67"/>
        </w:numPr>
        <w:spacing w:after="80"/>
        <w:contextualSpacing w:val="0"/>
      </w:pPr>
      <w:r>
        <w:rPr>
          <w:b/>
          <w:bCs/>
        </w:rPr>
        <w:t xml:space="preserve">Wet AMD – </w:t>
      </w:r>
      <w:r>
        <w:t>less common but more urgent; involves abnormal blood vessels growing beneath the macula that leak fluid and bleed, causing vision changes over days or weeks. The classic warning sign is straight lines appearing wavy or bent.</w:t>
      </w:r>
    </w:p>
    <w:p w14:paraId="39100EA1" w14:textId="77777777" w:rsidR="00E91C88" w:rsidRDefault="00E91C88" w:rsidP="00E91C88">
      <w:pPr>
        <w:spacing w:after="80"/>
      </w:pPr>
    </w:p>
    <w:p w14:paraId="380DFC8C" w14:textId="77777777" w:rsidR="00E91C88" w:rsidRDefault="00E91C88" w:rsidP="00E91C88">
      <w:pPr>
        <w:spacing w:after="120"/>
      </w:pPr>
      <w:r>
        <w:rPr>
          <w:b/>
          <w:bCs/>
        </w:rPr>
        <w:t xml:space="preserve">Important: </w:t>
      </w:r>
      <w:r>
        <w:t>Having dry AMD doesn’t protect you from developing wet AMD. About 10–15% of people with dry AMD will eventually develop the wet form in one or both eyes — which is why regular monitoring matters even when things are stable.</w:t>
      </w:r>
    </w:p>
    <w:p w14:paraId="0B9E5A55" w14:textId="77777777" w:rsidR="00E91C88" w:rsidRDefault="00E91C88" w:rsidP="00E91C88">
      <w:pPr>
        <w:spacing w:after="80"/>
      </w:pPr>
    </w:p>
    <w:p w14:paraId="54FC2FB1" w14:textId="77777777" w:rsidR="00E91C88" w:rsidRDefault="00E91C88" w:rsidP="00E91C88">
      <w:pPr>
        <w:pStyle w:val="Heading2"/>
      </w:pPr>
      <w:r>
        <w:t>Geographic Atrophy</w:t>
      </w:r>
    </w:p>
    <w:p w14:paraId="69BE77B5" w14:textId="77777777" w:rsidR="00E91C88" w:rsidRDefault="00E91C88" w:rsidP="00E91C88">
      <w:pPr>
        <w:spacing w:after="120"/>
      </w:pPr>
      <w:r>
        <w:t>Geographic atrophy (GA) is the advanced stage of dry AMD, where patches of cells in the macula die off entirely. When these patches are large enough to see on imaging, they look like a map — hence the name. GA can progress slowly for many years, and it is the form that new injectable treatments in the US are designed to slow.</w:t>
      </w:r>
    </w:p>
    <w:p w14:paraId="4B0355DC" w14:textId="77777777" w:rsidR="00E91C88" w:rsidRDefault="00E91C88" w:rsidP="00E91C88">
      <w:pPr>
        <w:spacing w:after="80"/>
      </w:pPr>
    </w:p>
    <w:p w14:paraId="5A01C378" w14:textId="77777777" w:rsidR="00E91C88" w:rsidRDefault="00E91C88" w:rsidP="00E91C88">
      <w:pPr>
        <w:pStyle w:val="Heading2"/>
      </w:pPr>
      <w:r>
        <w:lastRenderedPageBreak/>
        <w:t>Current Treatments: Where We Are Today</w:t>
      </w:r>
    </w:p>
    <w:p w14:paraId="10B4B7AD" w14:textId="77777777" w:rsidR="00E91C88" w:rsidRDefault="00E91C88" w:rsidP="00E91C88">
      <w:pPr>
        <w:spacing w:after="80"/>
      </w:pPr>
      <w:r>
        <w:rPr>
          <w:b/>
          <w:bCs/>
        </w:rPr>
        <w:t>Wet AMD</w:t>
      </w:r>
    </w:p>
    <w:p w14:paraId="7FF71C98" w14:textId="77777777" w:rsidR="00E91C88" w:rsidRDefault="00E91C88" w:rsidP="00E91C88">
      <w:pPr>
        <w:spacing w:after="120"/>
      </w:pPr>
      <w:r>
        <w:t>Wet AMD is treated with injections into the eye (anti-VEGF therapy). These medications mop up the signal that drives abnormal blood vessel growth, stopping the leakage and in many cases improving vision. They are one of the great success stories of modern ophthalmology — before ~2006, wet AMD often meant losing central vision with little recourse.</w:t>
      </w:r>
    </w:p>
    <w:p w14:paraId="4610EEA0" w14:textId="77777777" w:rsidR="00E91C88" w:rsidRDefault="00E91C88" w:rsidP="00E91C88">
      <w:pPr>
        <w:pStyle w:val="ListParagraph"/>
        <w:numPr>
          <w:ilvl w:val="0"/>
          <w:numId w:val="67"/>
        </w:numPr>
        <w:spacing w:after="80"/>
        <w:contextualSpacing w:val="0"/>
      </w:pPr>
      <w:r>
        <w:t>Injections are done in the office; the eye is numbed beforehand and most patients find it far more manageable than they expected</w:t>
      </w:r>
    </w:p>
    <w:p w14:paraId="129F5043" w14:textId="77777777" w:rsidR="00E91C88" w:rsidRDefault="00E91C88" w:rsidP="00E91C88">
      <w:pPr>
        <w:pStyle w:val="ListParagraph"/>
        <w:numPr>
          <w:ilvl w:val="0"/>
          <w:numId w:val="67"/>
        </w:numPr>
        <w:spacing w:after="80"/>
        <w:contextualSpacing w:val="0"/>
      </w:pPr>
      <w:r>
        <w:t>Typically monthly at first, then extended as things stabilize — interval varies considerably by person</w:t>
      </w:r>
    </w:p>
    <w:p w14:paraId="04D6CF8B" w14:textId="77777777" w:rsidR="00E91C88" w:rsidRDefault="00E91C88" w:rsidP="00E91C88">
      <w:pPr>
        <w:pStyle w:val="ListParagraph"/>
        <w:numPr>
          <w:ilvl w:val="0"/>
          <w:numId w:val="67"/>
        </w:numPr>
        <w:spacing w:after="80"/>
        <w:contextualSpacing w:val="0"/>
      </w:pPr>
      <w:r>
        <w:t>Several anti-VEGF medications are available in Canada; coverage varies by province</w:t>
      </w:r>
    </w:p>
    <w:p w14:paraId="3FE4B9A0" w14:textId="77777777" w:rsidR="00E91C88" w:rsidRDefault="00E91C88" w:rsidP="00E91C88">
      <w:pPr>
        <w:pStyle w:val="ListParagraph"/>
        <w:numPr>
          <w:ilvl w:val="0"/>
          <w:numId w:val="67"/>
        </w:numPr>
        <w:spacing w:after="80"/>
        <w:contextualSpacing w:val="0"/>
      </w:pPr>
      <w:r>
        <w:t>Even after injections are stopped — because the eye is stable — the underlying disease remains. Wet AMD can return, which is why ongoing monitoring is essential</w:t>
      </w:r>
    </w:p>
    <w:p w14:paraId="44B1F675" w14:textId="77777777" w:rsidR="00E91C88" w:rsidRDefault="00E91C88" w:rsidP="00E91C88">
      <w:pPr>
        <w:spacing w:after="80"/>
      </w:pPr>
    </w:p>
    <w:p w14:paraId="7A48BD58" w14:textId="77777777" w:rsidR="00E91C88" w:rsidRDefault="00E91C88" w:rsidP="00E91C88">
      <w:pPr>
        <w:spacing w:after="80"/>
      </w:pPr>
      <w:r>
        <w:rPr>
          <w:b/>
          <w:bCs/>
        </w:rPr>
        <w:t>Dry AMD</w:t>
      </w:r>
    </w:p>
    <w:p w14:paraId="5394C6D0" w14:textId="77777777" w:rsidR="00E91C88" w:rsidRDefault="00E91C88" w:rsidP="00E91C88">
      <w:pPr>
        <w:spacing w:after="120"/>
      </w:pPr>
      <w:r>
        <w:t>For early and intermediate dry AMD, the main tools are nutritional supplementation and lifestyle:</w:t>
      </w:r>
    </w:p>
    <w:p w14:paraId="0D9BFE7F" w14:textId="77777777" w:rsidR="00E91C88" w:rsidRDefault="00E91C88" w:rsidP="00E91C88">
      <w:pPr>
        <w:pStyle w:val="ListParagraph"/>
        <w:numPr>
          <w:ilvl w:val="0"/>
          <w:numId w:val="67"/>
        </w:numPr>
        <w:spacing w:after="80"/>
        <w:contextualSpacing w:val="0"/>
      </w:pPr>
      <w:r>
        <w:rPr>
          <w:b/>
          <w:bCs/>
        </w:rPr>
        <w:t xml:space="preserve">AREDS2 vitamins – </w:t>
      </w:r>
      <w:r>
        <w:t xml:space="preserve">the most evidence-based recommendation for dry AMD. Contains vitamin C, vitamin E, zinc, copper, lutein, and zeaxanthin. Shown to slow progression from intermediate to advanced AMD by around 25%. Recommended for people with intermediate or advanced dry AMD; not supported by evidence for early AMD or no AMD. In Canada, look for the </w:t>
      </w:r>
      <w:proofErr w:type="spellStart"/>
      <w:r>
        <w:t>PreserVision</w:t>
      </w:r>
      <w:proofErr w:type="spellEnd"/>
      <w:r>
        <w:t xml:space="preserve"> brand. Note: the earlier AREDS1 formula contained beta-carotene, which was removed due to lung cancer risk in smokers — make sure you’re taking AREDS2.</w:t>
      </w:r>
    </w:p>
    <w:p w14:paraId="347EF4F3" w14:textId="77777777" w:rsidR="00E91C88" w:rsidRDefault="00E91C88" w:rsidP="00E91C88">
      <w:pPr>
        <w:pStyle w:val="ListParagraph"/>
        <w:numPr>
          <w:ilvl w:val="0"/>
          <w:numId w:val="67"/>
        </w:numPr>
        <w:spacing w:after="80"/>
        <w:contextualSpacing w:val="0"/>
      </w:pPr>
      <w:r>
        <w:rPr>
          <w:b/>
          <w:bCs/>
        </w:rPr>
        <w:t xml:space="preserve">Healthy diet: </w:t>
      </w:r>
      <w:r>
        <w:t>leafy greens (kale, spinach) and fish rich in omega-3s; a Mediterranean-style diet has been shown to reduce AMD progression risk</w:t>
      </w:r>
    </w:p>
    <w:p w14:paraId="0587EB91" w14:textId="77777777" w:rsidR="00E91C88" w:rsidRDefault="00E91C88" w:rsidP="00E91C88">
      <w:pPr>
        <w:pStyle w:val="ListParagraph"/>
        <w:numPr>
          <w:ilvl w:val="0"/>
          <w:numId w:val="67"/>
        </w:numPr>
        <w:spacing w:after="80"/>
        <w:contextualSpacing w:val="0"/>
      </w:pPr>
      <w:r>
        <w:rPr>
          <w:b/>
          <w:bCs/>
        </w:rPr>
        <w:t xml:space="preserve">Lifestyle: </w:t>
      </w:r>
      <w:r>
        <w:t>quit smoking (the most impactful modifiable risk factor), maintain healthy blood pressure and cholesterol, wear UV-protective sunglasses</w:t>
      </w:r>
    </w:p>
    <w:p w14:paraId="4A64D29F" w14:textId="77777777" w:rsidR="00E91C88" w:rsidRDefault="00E91C88" w:rsidP="00E91C88">
      <w:pPr>
        <w:spacing w:after="80"/>
      </w:pPr>
    </w:p>
    <w:p w14:paraId="18F0F967" w14:textId="77777777" w:rsidR="00E91C88" w:rsidRDefault="00E91C88" w:rsidP="00E91C88">
      <w:pPr>
        <w:spacing w:after="120"/>
      </w:pPr>
      <w:r>
        <w:t xml:space="preserve">For geographic atrophy, two medications have been approved in the US — </w:t>
      </w:r>
      <w:proofErr w:type="spellStart"/>
      <w:r>
        <w:t>syfovre</w:t>
      </w:r>
      <w:proofErr w:type="spellEnd"/>
      <w:r>
        <w:t xml:space="preserve"> and </w:t>
      </w:r>
      <w:proofErr w:type="spellStart"/>
      <w:r>
        <w:t>izervay</w:t>
      </w:r>
      <w:proofErr w:type="spellEnd"/>
      <w:r>
        <w:t xml:space="preserve"> — that slow the growth of atrophic patches by 15–35%. They work by quieting the complement cascade, the part of the immune system driving cell loss. Neither is currently approved by Health Canada: the maker of </w:t>
      </w:r>
      <w:proofErr w:type="spellStart"/>
      <w:r>
        <w:t>syfovre</w:t>
      </w:r>
      <w:proofErr w:type="spellEnd"/>
      <w:r>
        <w:t xml:space="preserve"> withdrew its Canadian application, and </w:t>
      </w:r>
      <w:proofErr w:type="spellStart"/>
      <w:r>
        <w:t>izervay</w:t>
      </w:r>
      <w:proofErr w:type="spellEnd"/>
      <w:r>
        <w:t xml:space="preserve"> remains under review. There is a Special Access Program for exceptional individual cases, but it is not routine.</w:t>
      </w:r>
    </w:p>
    <w:p w14:paraId="6F9C9D83" w14:textId="77777777" w:rsidR="00E91C88" w:rsidRDefault="00E91C88" w:rsidP="00E91C88">
      <w:pPr>
        <w:spacing w:after="80"/>
      </w:pPr>
    </w:p>
    <w:p w14:paraId="66539429" w14:textId="77777777" w:rsidR="00E91C88" w:rsidRDefault="00E91C88" w:rsidP="00E91C88">
      <w:pPr>
        <w:pStyle w:val="Heading2"/>
      </w:pPr>
      <w:r>
        <w:lastRenderedPageBreak/>
        <w:t>Common Questions About Injections</w:t>
      </w:r>
    </w:p>
    <w:p w14:paraId="2F67E68D" w14:textId="77777777" w:rsidR="00E91C88" w:rsidRDefault="00E91C88" w:rsidP="00E91C88">
      <w:pPr>
        <w:pStyle w:val="ListParagraph"/>
        <w:numPr>
          <w:ilvl w:val="0"/>
          <w:numId w:val="67"/>
        </w:numPr>
        <w:spacing w:after="80"/>
        <w:contextualSpacing w:val="0"/>
      </w:pPr>
      <w:r>
        <w:rPr>
          <w:b/>
          <w:bCs/>
        </w:rPr>
        <w:t xml:space="preserve">Are they painful? </w:t>
      </w:r>
      <w:r>
        <w:t>Much less than people expect. The eye is numbed beforehand and the needle is very fine. Most patients find the first injection far more manageable than they imagined.</w:t>
      </w:r>
    </w:p>
    <w:p w14:paraId="40047A27" w14:textId="77777777" w:rsidR="00E91C88" w:rsidRDefault="00E91C88" w:rsidP="00E91C88">
      <w:pPr>
        <w:pStyle w:val="ListParagraph"/>
        <w:numPr>
          <w:ilvl w:val="0"/>
          <w:numId w:val="67"/>
        </w:numPr>
        <w:spacing w:after="80"/>
        <w:contextualSpacing w:val="0"/>
      </w:pPr>
      <w:r>
        <w:rPr>
          <w:b/>
          <w:bCs/>
        </w:rPr>
        <w:t xml:space="preserve">Do they keep working long-term? </w:t>
      </w:r>
      <w:r>
        <w:t>Yes, for most people. Some can extend their intervals significantly; others require ongoing monthly treatment. The key is catching wet AMD early — treatment started before significant scarring occurs leads to much better outcomes.</w:t>
      </w:r>
    </w:p>
    <w:p w14:paraId="06CEF639" w14:textId="77777777" w:rsidR="00E91C88" w:rsidRDefault="00E91C88" w:rsidP="00E91C88">
      <w:pPr>
        <w:pStyle w:val="ListParagraph"/>
        <w:numPr>
          <w:ilvl w:val="0"/>
          <w:numId w:val="67"/>
        </w:numPr>
        <w:spacing w:after="80"/>
        <w:contextualSpacing w:val="0"/>
      </w:pPr>
      <w:r>
        <w:rPr>
          <w:b/>
          <w:bCs/>
        </w:rPr>
        <w:t xml:space="preserve">Can wet AMD come back after injections stop? </w:t>
      </w:r>
      <w:r>
        <w:t>Yes. Stopping injections means treatment has done its job and brought things under control — it does not mean the disease is cured. The underlying conditions that caused wet AMD can cause it to return. Continued monitoring after stopping injections is essential.</w:t>
      </w:r>
    </w:p>
    <w:p w14:paraId="4CC8AA32" w14:textId="77777777" w:rsidR="00E91C88" w:rsidRDefault="00E91C88" w:rsidP="00E91C88">
      <w:pPr>
        <w:pStyle w:val="ListParagraph"/>
        <w:numPr>
          <w:ilvl w:val="0"/>
          <w:numId w:val="67"/>
        </w:numPr>
        <w:spacing w:after="80"/>
        <w:contextualSpacing w:val="0"/>
      </w:pPr>
      <w:r>
        <w:rPr>
          <w:b/>
          <w:bCs/>
        </w:rPr>
        <w:t xml:space="preserve">Do I need both wet and dry treatments if I have both? </w:t>
      </w:r>
      <w:r>
        <w:t>In principle, yes. Treating the wet AMD is typically the priority as it causes the most rapid vision change. The dry AMD drugs available in the US are sometimes used alongside anti-VEGF injections. Regardless, AREDS2 vitamins and lifestyle measures remain important even while being treated for wet AMD.</w:t>
      </w:r>
    </w:p>
    <w:p w14:paraId="49361090" w14:textId="77777777" w:rsidR="00E91C88" w:rsidRDefault="00E91C88" w:rsidP="00E91C88">
      <w:pPr>
        <w:spacing w:after="80"/>
      </w:pPr>
    </w:p>
    <w:p w14:paraId="3A263A55" w14:textId="77777777" w:rsidR="00E91C88" w:rsidRDefault="00E91C88" w:rsidP="00E91C88">
      <w:pPr>
        <w:pStyle w:val="Heading2"/>
      </w:pPr>
      <w:r>
        <w:t>What Are the Biggest Challenges Today?</w:t>
      </w:r>
    </w:p>
    <w:p w14:paraId="6798966F" w14:textId="77777777" w:rsidR="00E91C88" w:rsidRDefault="00E91C88" w:rsidP="00E91C88">
      <w:pPr>
        <w:pStyle w:val="ListParagraph"/>
        <w:numPr>
          <w:ilvl w:val="0"/>
          <w:numId w:val="67"/>
        </w:numPr>
        <w:spacing w:after="80"/>
        <w:contextualSpacing w:val="0"/>
      </w:pPr>
      <w:r>
        <w:rPr>
          <w:b/>
          <w:bCs/>
        </w:rPr>
        <w:t xml:space="preserve">No approved treatments for geographic atrophy in Canada: </w:t>
      </w:r>
      <w:r>
        <w:t>Patients with advanced dry AMD are often told there is little that can be done. This is a major focus of research and advocacy.</w:t>
      </w:r>
    </w:p>
    <w:p w14:paraId="63D00C12" w14:textId="77777777" w:rsidR="00E91C88" w:rsidRDefault="00E91C88" w:rsidP="00E91C88">
      <w:pPr>
        <w:pStyle w:val="ListParagraph"/>
        <w:numPr>
          <w:ilvl w:val="0"/>
          <w:numId w:val="67"/>
        </w:numPr>
        <w:spacing w:after="80"/>
        <w:contextualSpacing w:val="0"/>
      </w:pPr>
      <w:r>
        <w:rPr>
          <w:b/>
          <w:bCs/>
        </w:rPr>
        <w:t xml:space="preserve">Treatment burden for wet AMD: </w:t>
      </w:r>
      <w:r>
        <w:t>Despite effective treatments, frequent injections mean ongoing appointments, travel, and time — sometimes indefinitely.</w:t>
      </w:r>
    </w:p>
    <w:p w14:paraId="3F6BF005" w14:textId="77777777" w:rsidR="00E91C88" w:rsidRDefault="00E91C88" w:rsidP="00E91C88">
      <w:pPr>
        <w:pStyle w:val="ListParagraph"/>
        <w:numPr>
          <w:ilvl w:val="0"/>
          <w:numId w:val="67"/>
        </w:numPr>
        <w:spacing w:after="80"/>
        <w:contextualSpacing w:val="0"/>
      </w:pPr>
      <w:r>
        <w:rPr>
          <w:b/>
          <w:bCs/>
        </w:rPr>
        <w:t xml:space="preserve">Trial eligibility: </w:t>
      </w:r>
      <w:r>
        <w:t>Patients with both wet and dry AMD are often excluded from dry AMD trials because wet AMD introduces variability that makes it hard to measure whether a dry AMD treatment is working.</w:t>
      </w:r>
    </w:p>
    <w:p w14:paraId="2AE3D5B8" w14:textId="77777777" w:rsidR="00E91C88" w:rsidRDefault="00E91C88" w:rsidP="00E91C88">
      <w:pPr>
        <w:spacing w:after="80"/>
      </w:pPr>
    </w:p>
    <w:p w14:paraId="018ACEE3" w14:textId="77777777" w:rsidR="00E91C88" w:rsidRDefault="00E91C88" w:rsidP="00E91C88">
      <w:pPr>
        <w:pStyle w:val="Heading2"/>
      </w:pPr>
      <w:r>
        <w:t>What Research Is Focused On</w:t>
      </w:r>
    </w:p>
    <w:p w14:paraId="452F822D" w14:textId="77777777" w:rsidR="00E91C88" w:rsidRDefault="00E91C88" w:rsidP="00E91C88">
      <w:pPr>
        <w:spacing w:after="80"/>
      </w:pPr>
      <w:r>
        <w:rPr>
          <w:b/>
          <w:bCs/>
        </w:rPr>
        <w:t>For Wet AMD</w:t>
      </w:r>
    </w:p>
    <w:p w14:paraId="4AA1DC87" w14:textId="77777777" w:rsidR="00E91C88" w:rsidRDefault="00E91C88" w:rsidP="00E91C88">
      <w:pPr>
        <w:spacing w:after="120"/>
      </w:pPr>
      <w:r>
        <w:t>The primary focus is reducing treatment burden by making treatments last longer:</w:t>
      </w:r>
    </w:p>
    <w:p w14:paraId="3E9606BA" w14:textId="77777777" w:rsidR="00E91C88" w:rsidRDefault="00E91C88" w:rsidP="00E91C88">
      <w:pPr>
        <w:pStyle w:val="ListParagraph"/>
        <w:numPr>
          <w:ilvl w:val="0"/>
          <w:numId w:val="67"/>
        </w:numPr>
        <w:spacing w:after="80"/>
        <w:contextualSpacing w:val="0"/>
      </w:pPr>
      <w:r>
        <w:rPr>
          <w:b/>
          <w:bCs/>
        </w:rPr>
        <w:t xml:space="preserve">Gene therapy: </w:t>
      </w:r>
      <w:r>
        <w:t>rather than injecting the drug, you inject genetic instructions for the eye’s own cells to produce the anti-VEGF medication continuously. Best case: a one-and-done injection. Several programs are in advanced trials; some patients have already gone more than a year without needing another injection.</w:t>
      </w:r>
    </w:p>
    <w:p w14:paraId="1C8CE5B0" w14:textId="77777777" w:rsidR="00E91C88" w:rsidRDefault="00E91C88" w:rsidP="00E91C88">
      <w:pPr>
        <w:pStyle w:val="ListParagraph"/>
        <w:numPr>
          <w:ilvl w:val="0"/>
          <w:numId w:val="67"/>
        </w:numPr>
        <w:spacing w:after="80"/>
        <w:contextualSpacing w:val="0"/>
      </w:pPr>
      <w:r>
        <w:rPr>
          <w:b/>
          <w:bCs/>
        </w:rPr>
        <w:lastRenderedPageBreak/>
        <w:t xml:space="preserve">Complement cascade gene therapy: </w:t>
      </w:r>
      <w:r>
        <w:t xml:space="preserve">for dry AMD and GA, gene therapy targeting the same immune pathway as </w:t>
      </w:r>
      <w:proofErr w:type="spellStart"/>
      <w:r>
        <w:t>syfovre</w:t>
      </w:r>
      <w:proofErr w:type="spellEnd"/>
      <w:r>
        <w:t xml:space="preserve"> and </w:t>
      </w:r>
      <w:proofErr w:type="spellStart"/>
      <w:r>
        <w:t>izervay</w:t>
      </w:r>
      <w:proofErr w:type="spellEnd"/>
      <w:r>
        <w:t xml:space="preserve"> is being developed as a potential one-time treatment rather than regular injections.</w:t>
      </w:r>
    </w:p>
    <w:p w14:paraId="64545BCA" w14:textId="77777777" w:rsidR="00E91C88" w:rsidRDefault="00E91C88" w:rsidP="00E91C88">
      <w:pPr>
        <w:spacing w:after="80"/>
      </w:pPr>
    </w:p>
    <w:p w14:paraId="13523FD5" w14:textId="77777777" w:rsidR="00E91C88" w:rsidRDefault="00E91C88" w:rsidP="00E91C88">
      <w:pPr>
        <w:spacing w:after="80"/>
      </w:pPr>
      <w:r>
        <w:rPr>
          <w:b/>
          <w:bCs/>
        </w:rPr>
        <w:t>For Dry AMD and Geographic Atrophy</w:t>
      </w:r>
    </w:p>
    <w:p w14:paraId="556793FC" w14:textId="77777777" w:rsidR="00E91C88" w:rsidRDefault="00E91C88" w:rsidP="00E91C88">
      <w:pPr>
        <w:pStyle w:val="ListParagraph"/>
        <w:numPr>
          <w:ilvl w:val="0"/>
          <w:numId w:val="67"/>
        </w:numPr>
        <w:spacing w:after="80"/>
        <w:contextualSpacing w:val="0"/>
      </w:pPr>
      <w:r>
        <w:rPr>
          <w:b/>
          <w:bCs/>
        </w:rPr>
        <w:t xml:space="preserve">Molecular scissors (protease inhibition): </w:t>
      </w:r>
      <w:r>
        <w:t>research at UBC by Dr. Joanne Matsubara is investigating enzymes that break down the outer retina (the “foundation of the house”). Stopping these from cutting up the foundation at an early stage could prevent both dry and wet AMD from progressing.</w:t>
      </w:r>
    </w:p>
    <w:p w14:paraId="01A520F0" w14:textId="77777777" w:rsidR="00E91C88" w:rsidRDefault="00E91C88" w:rsidP="00E91C88">
      <w:pPr>
        <w:pStyle w:val="ListParagraph"/>
        <w:numPr>
          <w:ilvl w:val="0"/>
          <w:numId w:val="67"/>
        </w:numPr>
        <w:spacing w:after="80"/>
        <w:contextualSpacing w:val="0"/>
      </w:pPr>
      <w:r>
        <w:rPr>
          <w:b/>
          <w:bCs/>
        </w:rPr>
        <w:t xml:space="preserve">Eye drops for retinal disease: </w:t>
      </w:r>
      <w:r>
        <w:t>also being investigated at UBC — the goal is to deliver treatments that reach the retina through drops rather than injections. A five-to-ten year horizon, but potentially transformative for accessibility and convenience.</w:t>
      </w:r>
    </w:p>
    <w:p w14:paraId="36ED4A5D" w14:textId="77777777" w:rsidR="00E91C88" w:rsidRDefault="00E91C88" w:rsidP="00E91C88">
      <w:pPr>
        <w:pStyle w:val="ListParagraph"/>
        <w:numPr>
          <w:ilvl w:val="0"/>
          <w:numId w:val="67"/>
        </w:numPr>
        <w:spacing w:after="80"/>
        <w:contextualSpacing w:val="0"/>
      </w:pPr>
      <w:r>
        <w:rPr>
          <w:b/>
          <w:bCs/>
        </w:rPr>
        <w:t xml:space="preserve">Neuroprotection: </w:t>
      </w:r>
      <w:r>
        <w:t>research into keeping retinal cells healthier so they survive longer, using drugs and compounds that act on cellular pathways.</w:t>
      </w:r>
    </w:p>
    <w:p w14:paraId="484AADF3" w14:textId="77777777" w:rsidR="00E91C88" w:rsidRDefault="00E91C88" w:rsidP="00E91C88">
      <w:pPr>
        <w:pStyle w:val="ListParagraph"/>
        <w:numPr>
          <w:ilvl w:val="0"/>
          <w:numId w:val="67"/>
        </w:numPr>
        <w:spacing w:after="80"/>
        <w:contextualSpacing w:val="0"/>
      </w:pPr>
      <w:r>
        <w:rPr>
          <w:b/>
          <w:bCs/>
        </w:rPr>
        <w:t xml:space="preserve">Stem cell therapy: </w:t>
      </w:r>
      <w:r>
        <w:t>replacing damaged retinal cells with new ones grown in a lab. Still very early stage; FBC-supported researcher Dr. David Lam is among the first to move this toward a clinical trial. The key challenge is getting new cells to properly integrate and form functioning connections with the existing retinal network.</w:t>
      </w:r>
    </w:p>
    <w:p w14:paraId="74001240" w14:textId="77777777" w:rsidR="00E91C88" w:rsidRDefault="00E91C88" w:rsidP="00E91C88">
      <w:pPr>
        <w:spacing w:after="80"/>
      </w:pPr>
    </w:p>
    <w:p w14:paraId="41C90C53" w14:textId="77777777" w:rsidR="00E91C88" w:rsidRDefault="00E91C88" w:rsidP="00E91C88">
      <w:pPr>
        <w:pStyle w:val="Heading2"/>
      </w:pPr>
      <w:r>
        <w:t>Treatments Not Yet Proven</w:t>
      </w:r>
    </w:p>
    <w:p w14:paraId="58EA955B" w14:textId="77777777" w:rsidR="00E91C88" w:rsidRDefault="00E91C88" w:rsidP="00E91C88">
      <w:pPr>
        <w:spacing w:after="120"/>
      </w:pPr>
      <w:r>
        <w:t>You may hear about unproven treatments. Here’s what to know:</w:t>
      </w:r>
    </w:p>
    <w:p w14:paraId="3A70AFA8" w14:textId="77777777" w:rsidR="00E91C88" w:rsidRDefault="00E91C88" w:rsidP="00E91C88">
      <w:pPr>
        <w:pStyle w:val="ListParagraph"/>
        <w:numPr>
          <w:ilvl w:val="0"/>
          <w:numId w:val="67"/>
        </w:numPr>
        <w:spacing w:after="80"/>
        <w:contextualSpacing w:val="0"/>
      </w:pPr>
      <w:r>
        <w:rPr>
          <w:b/>
          <w:bCs/>
        </w:rPr>
        <w:t xml:space="preserve">Stem cell clinics: </w:t>
      </w:r>
      <w:r>
        <w:t>there are no approved stem cell therapies for AMD anywhere in the world. Clinics — primarily in the US — that charge patients for stem cell treatments are not offering approved therapies. If someone is asking you to pay, that is a significant red flag. Legitimate clinical trials never charge participants. These procedures can cause serious harm.</w:t>
      </w:r>
    </w:p>
    <w:p w14:paraId="100F9394" w14:textId="77777777" w:rsidR="00E91C88" w:rsidRDefault="00E91C88" w:rsidP="00E91C88">
      <w:pPr>
        <w:spacing w:after="80"/>
      </w:pPr>
    </w:p>
    <w:p w14:paraId="409D5C8C" w14:textId="77777777" w:rsidR="00E91C88" w:rsidRDefault="00E91C88" w:rsidP="00E91C88">
      <w:pPr>
        <w:spacing w:after="120"/>
      </w:pPr>
      <w:r>
        <w:rPr>
          <w:b/>
          <w:bCs/>
        </w:rPr>
        <w:t xml:space="preserve">Always speak with your eye specialist </w:t>
      </w:r>
      <w:r>
        <w:t>before trying any new or unproven treatment. FBC’s Health Information Line (healthinfo@fightingblindness.ca) can also help you assess what is credible.</w:t>
      </w:r>
    </w:p>
    <w:p w14:paraId="6FF44125" w14:textId="77777777" w:rsidR="00E91C88" w:rsidRDefault="00E91C88" w:rsidP="00E91C88">
      <w:pPr>
        <w:spacing w:after="80"/>
      </w:pPr>
    </w:p>
    <w:p w14:paraId="087423ED" w14:textId="77777777" w:rsidR="00E91C88" w:rsidRDefault="00E91C88" w:rsidP="00E91C88">
      <w:pPr>
        <w:pStyle w:val="Heading2"/>
      </w:pPr>
      <w:r>
        <w:t>Why Does Approval Take Longer in Canada?</w:t>
      </w:r>
    </w:p>
    <w:p w14:paraId="6A92FBC2" w14:textId="77777777" w:rsidR="00E91C88" w:rsidRDefault="00E91C88" w:rsidP="00E91C88">
      <w:pPr>
        <w:spacing w:after="120"/>
      </w:pPr>
      <w:r>
        <w:t xml:space="preserve">Drugs approved in the US are not automatically approved in Canada. Companies must file a separate application with Health Canada, which conducts its own independent review. After that, provinces decide whether to cover the cost. Some companies weigh the size of the </w:t>
      </w:r>
      <w:r>
        <w:lastRenderedPageBreak/>
        <w:t>Canadian market when deciding whether to apply at all — which can mean delays or, in some cases, no Canadian application.</w:t>
      </w:r>
    </w:p>
    <w:p w14:paraId="23D13851" w14:textId="77777777" w:rsidR="00E91C88" w:rsidRDefault="00E91C88" w:rsidP="00E91C88">
      <w:pPr>
        <w:spacing w:after="120"/>
      </w:pPr>
      <w:r>
        <w:t>Fighting Blindness Canada plays a role in this process by submitting the patient perspective to regulators — making the case for why these treatments matter to Canadians. Stem cell and first-in-class gene therapies also present unique regulatory challenges, because the playbook for approving living-cell therapies is still being developed.</w:t>
      </w:r>
    </w:p>
    <w:p w14:paraId="2C6A320D" w14:textId="77777777" w:rsidR="00E91C88" w:rsidRDefault="00E91C88" w:rsidP="00E91C88">
      <w:pPr>
        <w:spacing w:after="80"/>
      </w:pPr>
    </w:p>
    <w:p w14:paraId="010EE02A" w14:textId="77777777" w:rsidR="00E91C88" w:rsidRDefault="00E91C88" w:rsidP="00E91C88">
      <w:pPr>
        <w:pStyle w:val="Heading2"/>
      </w:pPr>
      <w:r>
        <w:t>How to Get Involved in Clinical Trials</w:t>
      </w:r>
    </w:p>
    <w:p w14:paraId="32BA4AA7" w14:textId="77777777" w:rsidR="00E91C88" w:rsidRDefault="00E91C88" w:rsidP="00E91C88">
      <w:pPr>
        <w:pStyle w:val="ListParagraph"/>
        <w:numPr>
          <w:ilvl w:val="0"/>
          <w:numId w:val="67"/>
        </w:numPr>
        <w:spacing w:after="80"/>
        <w:contextualSpacing w:val="0"/>
      </w:pPr>
      <w:r>
        <w:rPr>
          <w:b/>
          <w:bCs/>
        </w:rPr>
        <w:t xml:space="preserve">Ask your retina specialist: </w:t>
      </w:r>
      <w:r>
        <w:t xml:space="preserve">they are your best starting point and know what is enrolling locally and at other academic </w:t>
      </w:r>
      <w:proofErr w:type="spellStart"/>
      <w:r>
        <w:t>centres</w:t>
      </w:r>
      <w:proofErr w:type="spellEnd"/>
    </w:p>
    <w:p w14:paraId="2FCEC6A1" w14:textId="77777777" w:rsidR="00E91C88" w:rsidRDefault="00E91C88" w:rsidP="00E91C88">
      <w:pPr>
        <w:pStyle w:val="ListParagraph"/>
        <w:numPr>
          <w:ilvl w:val="0"/>
          <w:numId w:val="67"/>
        </w:numPr>
        <w:spacing w:after="80"/>
        <w:contextualSpacing w:val="0"/>
      </w:pPr>
      <w:r>
        <w:rPr>
          <w:b/>
          <w:bCs/>
        </w:rPr>
        <w:t xml:space="preserve">ClinicalTrials.gov: </w:t>
      </w:r>
      <w:r>
        <w:t>a public database listing every trial in the world, searchable by condition, country, and city</w:t>
      </w:r>
    </w:p>
    <w:p w14:paraId="2AA6EB4A" w14:textId="77777777" w:rsidR="00E91C88" w:rsidRDefault="00E91C88" w:rsidP="00E91C88">
      <w:pPr>
        <w:pStyle w:val="ListParagraph"/>
        <w:numPr>
          <w:ilvl w:val="0"/>
          <w:numId w:val="67"/>
        </w:numPr>
        <w:spacing w:after="80"/>
        <w:contextualSpacing w:val="0"/>
      </w:pPr>
      <w:r>
        <w:rPr>
          <w:b/>
          <w:bCs/>
        </w:rPr>
        <w:t xml:space="preserve">FBC website: </w:t>
      </w:r>
      <w:r>
        <w:t>a curated list of innovative AMD trials at fightingblindness.ca, easier to navigate than ClinicalTrials.gov</w:t>
      </w:r>
    </w:p>
    <w:p w14:paraId="609D3B14" w14:textId="77777777" w:rsidR="00E91C88" w:rsidRDefault="00E91C88" w:rsidP="00E91C88">
      <w:pPr>
        <w:pStyle w:val="ListParagraph"/>
        <w:numPr>
          <w:ilvl w:val="0"/>
          <w:numId w:val="67"/>
        </w:numPr>
        <w:spacing w:after="80"/>
        <w:contextualSpacing w:val="0"/>
      </w:pPr>
      <w:r>
        <w:rPr>
          <w:b/>
          <w:bCs/>
        </w:rPr>
        <w:t xml:space="preserve">FBC Health Information Line: </w:t>
      </w:r>
      <w:r>
        <w:t>call or email healthinfo@fightingblindness.ca — staff can help you identify relevant trials and prepare questions for your doctor</w:t>
      </w:r>
    </w:p>
    <w:p w14:paraId="0AF05183" w14:textId="77777777" w:rsidR="00E91C88" w:rsidRDefault="00E91C88" w:rsidP="00E91C88">
      <w:pPr>
        <w:spacing w:after="80"/>
      </w:pPr>
    </w:p>
    <w:p w14:paraId="4073C54A" w14:textId="77777777" w:rsidR="00E91C88" w:rsidRDefault="00E91C88" w:rsidP="00E91C88">
      <w:pPr>
        <w:pStyle w:val="Heading2"/>
      </w:pPr>
      <w:r>
        <w:t>Key Takeaways</w:t>
      </w:r>
    </w:p>
    <w:p w14:paraId="3464724A" w14:textId="77777777" w:rsidR="00E91C88" w:rsidRDefault="00E91C88" w:rsidP="00E91C88">
      <w:pPr>
        <w:pStyle w:val="ListParagraph"/>
        <w:numPr>
          <w:ilvl w:val="0"/>
          <w:numId w:val="67"/>
        </w:numPr>
        <w:spacing w:after="80"/>
        <w:contextualSpacing w:val="0"/>
      </w:pPr>
      <w:r>
        <w:t>Wet AMD has effective treatments — early detection and ongoing care are critical</w:t>
      </w:r>
    </w:p>
    <w:p w14:paraId="0C814286" w14:textId="77777777" w:rsidR="00E91C88" w:rsidRDefault="00E91C88" w:rsidP="00E91C88">
      <w:pPr>
        <w:pStyle w:val="ListParagraph"/>
        <w:numPr>
          <w:ilvl w:val="0"/>
          <w:numId w:val="67"/>
        </w:numPr>
        <w:spacing w:after="80"/>
        <w:contextualSpacing w:val="0"/>
      </w:pPr>
      <w:r>
        <w:t>Dry AMD and geographic atrophy have limited approved options in Canada, but research is advancing</w:t>
      </w:r>
    </w:p>
    <w:p w14:paraId="55E1C6A6" w14:textId="77777777" w:rsidR="00E91C88" w:rsidRDefault="00E91C88" w:rsidP="00E91C88">
      <w:pPr>
        <w:pStyle w:val="ListParagraph"/>
        <w:numPr>
          <w:ilvl w:val="0"/>
          <w:numId w:val="67"/>
        </w:numPr>
        <w:spacing w:after="80"/>
        <w:contextualSpacing w:val="0"/>
      </w:pPr>
      <w:r>
        <w:t>AREDS2 vitamins and a healthy lifestyle remain important for people with intermediate or advanced dry AMD</w:t>
      </w:r>
    </w:p>
    <w:p w14:paraId="518EC271" w14:textId="77777777" w:rsidR="00E91C88" w:rsidRDefault="00E91C88" w:rsidP="00E91C88">
      <w:pPr>
        <w:pStyle w:val="ListParagraph"/>
        <w:numPr>
          <w:ilvl w:val="0"/>
          <w:numId w:val="67"/>
        </w:numPr>
        <w:spacing w:after="80"/>
        <w:contextualSpacing w:val="0"/>
      </w:pPr>
      <w:r>
        <w:t>Gene therapy has the potential to transform wet AMD treatment — early results from trials are encouraging</w:t>
      </w:r>
    </w:p>
    <w:p w14:paraId="6CC657B8" w14:textId="77777777" w:rsidR="00E91C88" w:rsidRDefault="00E91C88" w:rsidP="00E91C88">
      <w:pPr>
        <w:pStyle w:val="ListParagraph"/>
        <w:numPr>
          <w:ilvl w:val="0"/>
          <w:numId w:val="67"/>
        </w:numPr>
        <w:spacing w:after="80"/>
        <w:contextualSpacing w:val="0"/>
      </w:pPr>
      <w:r>
        <w:t>New research targeting the root causes of AMD — including molecular scissors and eye drops — could prevent vision loss before it starts</w:t>
      </w:r>
    </w:p>
    <w:p w14:paraId="1020128D" w14:textId="77777777" w:rsidR="00E91C88" w:rsidRDefault="00E91C88" w:rsidP="00E91C88">
      <w:pPr>
        <w:pStyle w:val="ListParagraph"/>
        <w:numPr>
          <w:ilvl w:val="0"/>
          <w:numId w:val="67"/>
        </w:numPr>
        <w:spacing w:after="80"/>
        <w:contextualSpacing w:val="0"/>
      </w:pPr>
      <w:r>
        <w:t>If asked to pay for a treatment or trial, that is a red flag — legitimate trials do not charge participants</w:t>
      </w:r>
    </w:p>
    <w:p w14:paraId="3974637F" w14:textId="77777777" w:rsidR="00E91C88" w:rsidRDefault="00E91C88" w:rsidP="00E91C88">
      <w:pPr>
        <w:spacing w:after="80"/>
      </w:pPr>
    </w:p>
    <w:p w14:paraId="4119C26C" w14:textId="77777777" w:rsidR="00E91C88" w:rsidRDefault="00E91C88" w:rsidP="00E91C88">
      <w:pPr>
        <w:pStyle w:val="Heading2"/>
      </w:pPr>
      <w:r>
        <w:t>What You Can Do Now</w:t>
      </w:r>
    </w:p>
    <w:p w14:paraId="1444876C" w14:textId="77777777" w:rsidR="00E91C88" w:rsidRDefault="00E91C88" w:rsidP="00E91C88">
      <w:pPr>
        <w:pStyle w:val="ListParagraph"/>
        <w:numPr>
          <w:ilvl w:val="0"/>
          <w:numId w:val="67"/>
        </w:numPr>
        <w:spacing w:after="80"/>
        <w:contextualSpacing w:val="0"/>
      </w:pPr>
      <w:r>
        <w:t>Stay connected with your eye care team and attend regular appointments</w:t>
      </w:r>
    </w:p>
    <w:p w14:paraId="240BFA13" w14:textId="77777777" w:rsidR="00E91C88" w:rsidRDefault="00E91C88" w:rsidP="00E91C88">
      <w:pPr>
        <w:pStyle w:val="ListParagraph"/>
        <w:numPr>
          <w:ilvl w:val="0"/>
          <w:numId w:val="67"/>
        </w:numPr>
        <w:spacing w:after="80"/>
        <w:contextualSpacing w:val="0"/>
      </w:pPr>
      <w:r>
        <w:t>Take AREDS2 vitamins if recommended by your specialist</w:t>
      </w:r>
    </w:p>
    <w:p w14:paraId="7A857B72" w14:textId="77777777" w:rsidR="00E91C88" w:rsidRDefault="00E91C88" w:rsidP="00E91C88">
      <w:pPr>
        <w:pStyle w:val="ListParagraph"/>
        <w:numPr>
          <w:ilvl w:val="0"/>
          <w:numId w:val="67"/>
        </w:numPr>
        <w:spacing w:after="80"/>
        <w:contextualSpacing w:val="0"/>
      </w:pPr>
      <w:r>
        <w:t>Maintain a healthy diet, quit smoking if you smoke, and protect your eyes from UV</w:t>
      </w:r>
    </w:p>
    <w:p w14:paraId="6DDDCEBB" w14:textId="77777777" w:rsidR="00E91C88" w:rsidRDefault="00E91C88" w:rsidP="00E91C88">
      <w:pPr>
        <w:pStyle w:val="ListParagraph"/>
        <w:numPr>
          <w:ilvl w:val="0"/>
          <w:numId w:val="67"/>
        </w:numPr>
        <w:spacing w:after="80"/>
        <w:contextualSpacing w:val="0"/>
      </w:pPr>
      <w:r>
        <w:lastRenderedPageBreak/>
        <w:t>Monitor your vision — use an Amsler grid if advised, and act quickly if you notice any changes</w:t>
      </w:r>
    </w:p>
    <w:p w14:paraId="7150C1C2" w14:textId="77777777" w:rsidR="00E91C88" w:rsidRDefault="00E91C88" w:rsidP="00E91C88">
      <w:pPr>
        <w:pStyle w:val="ListParagraph"/>
        <w:numPr>
          <w:ilvl w:val="0"/>
          <w:numId w:val="67"/>
        </w:numPr>
        <w:spacing w:after="80"/>
        <w:contextualSpacing w:val="0"/>
      </w:pPr>
      <w:r>
        <w:t>Ask about clinical trials that may be relevant for you</w:t>
      </w:r>
    </w:p>
    <w:p w14:paraId="422629FC" w14:textId="77777777" w:rsidR="00E91C88" w:rsidRDefault="00E91C88" w:rsidP="00E91C88">
      <w:pPr>
        <w:pStyle w:val="ListParagraph"/>
        <w:numPr>
          <w:ilvl w:val="0"/>
          <w:numId w:val="67"/>
        </w:numPr>
        <w:spacing w:after="80"/>
        <w:contextualSpacing w:val="0"/>
      </w:pPr>
      <w:r>
        <w:t>Reach out to Fighting Blindness Canada at healthinfo@fightingblindness.ca for information, resources, and support</w:t>
      </w:r>
    </w:p>
    <w:p w14:paraId="7F95F76E" w14:textId="628FEA34" w:rsidR="4875D3CD" w:rsidRPr="00344008" w:rsidRDefault="4875D3CD" w:rsidP="00344008">
      <w:pPr>
        <w:rPr>
          <w:rFonts w:eastAsia="Aptos"/>
        </w:rPr>
      </w:pPr>
    </w:p>
    <w:sectPr w:rsidR="4875D3CD" w:rsidRPr="00344008" w:rsidSect="008E6DC2">
      <w:headerReference w:type="default" r:id="rId13"/>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DB537" w14:textId="77777777" w:rsidR="00635876" w:rsidRDefault="00635876" w:rsidP="000B1565">
      <w:r>
        <w:separator/>
      </w:r>
    </w:p>
  </w:endnote>
  <w:endnote w:type="continuationSeparator" w:id="0">
    <w:p w14:paraId="66C686E0" w14:textId="77777777" w:rsidR="00635876" w:rsidRDefault="00635876"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2556A" w14:textId="77777777" w:rsidR="00635876" w:rsidRDefault="00635876" w:rsidP="000B1565">
      <w:r>
        <w:separator/>
      </w:r>
    </w:p>
  </w:footnote>
  <w:footnote w:type="continuationSeparator" w:id="0">
    <w:p w14:paraId="07B65EB3" w14:textId="77777777" w:rsidR="00635876" w:rsidRDefault="00635876"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40EABED0"/>
    <w:lvl w:ilvl="0" w:tplc="CE3EB358">
      <w:start w:val="1"/>
      <w:numFmt w:val="bullet"/>
      <w:lvlText w:val="·"/>
      <w:lvlJc w:val="left"/>
      <w:pPr>
        <w:ind w:left="720" w:hanging="360"/>
      </w:pPr>
      <w:rPr>
        <w:rFonts w:ascii="Symbol" w:hAnsi="Symbol" w:hint="default"/>
      </w:rPr>
    </w:lvl>
    <w:lvl w:ilvl="1" w:tplc="C030A4A0">
      <w:start w:val="1"/>
      <w:numFmt w:val="bullet"/>
      <w:lvlText w:val="o"/>
      <w:lvlJc w:val="left"/>
      <w:pPr>
        <w:ind w:left="1440" w:hanging="360"/>
      </w:pPr>
      <w:rPr>
        <w:rFonts w:ascii="Courier New" w:hAnsi="Courier New" w:hint="default"/>
      </w:rPr>
    </w:lvl>
    <w:lvl w:ilvl="2" w:tplc="3BE2BD82">
      <w:start w:val="1"/>
      <w:numFmt w:val="bullet"/>
      <w:lvlText w:val=""/>
      <w:lvlJc w:val="left"/>
      <w:pPr>
        <w:ind w:left="2160" w:hanging="360"/>
      </w:pPr>
      <w:rPr>
        <w:rFonts w:ascii="Wingdings" w:hAnsi="Wingdings" w:hint="default"/>
      </w:rPr>
    </w:lvl>
    <w:lvl w:ilvl="3" w:tplc="C080A7E2">
      <w:start w:val="1"/>
      <w:numFmt w:val="bullet"/>
      <w:lvlText w:val=""/>
      <w:lvlJc w:val="left"/>
      <w:pPr>
        <w:ind w:left="2880" w:hanging="360"/>
      </w:pPr>
      <w:rPr>
        <w:rFonts w:ascii="Symbol" w:hAnsi="Symbol" w:hint="default"/>
      </w:rPr>
    </w:lvl>
    <w:lvl w:ilvl="4" w:tplc="1CA2B35E">
      <w:start w:val="1"/>
      <w:numFmt w:val="bullet"/>
      <w:lvlText w:val="o"/>
      <w:lvlJc w:val="left"/>
      <w:pPr>
        <w:ind w:left="3600" w:hanging="360"/>
      </w:pPr>
      <w:rPr>
        <w:rFonts w:ascii="Courier New" w:hAnsi="Courier New" w:hint="default"/>
      </w:rPr>
    </w:lvl>
    <w:lvl w:ilvl="5" w:tplc="A5C286AC">
      <w:start w:val="1"/>
      <w:numFmt w:val="bullet"/>
      <w:lvlText w:val=""/>
      <w:lvlJc w:val="left"/>
      <w:pPr>
        <w:ind w:left="4320" w:hanging="360"/>
      </w:pPr>
      <w:rPr>
        <w:rFonts w:ascii="Wingdings" w:hAnsi="Wingdings" w:hint="default"/>
      </w:rPr>
    </w:lvl>
    <w:lvl w:ilvl="6" w:tplc="0BCA7EA8">
      <w:start w:val="1"/>
      <w:numFmt w:val="bullet"/>
      <w:lvlText w:val=""/>
      <w:lvlJc w:val="left"/>
      <w:pPr>
        <w:ind w:left="5040" w:hanging="360"/>
      </w:pPr>
      <w:rPr>
        <w:rFonts w:ascii="Symbol" w:hAnsi="Symbol" w:hint="default"/>
      </w:rPr>
    </w:lvl>
    <w:lvl w:ilvl="7" w:tplc="7A78B1D8">
      <w:start w:val="1"/>
      <w:numFmt w:val="bullet"/>
      <w:lvlText w:val="o"/>
      <w:lvlJc w:val="left"/>
      <w:pPr>
        <w:ind w:left="5760" w:hanging="360"/>
      </w:pPr>
      <w:rPr>
        <w:rFonts w:ascii="Courier New" w:hAnsi="Courier New" w:hint="default"/>
      </w:rPr>
    </w:lvl>
    <w:lvl w:ilvl="8" w:tplc="4A16B534">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56CEB922"/>
    <w:lvl w:ilvl="0" w:tplc="FDBCA11C">
      <w:start w:val="1"/>
      <w:numFmt w:val="bullet"/>
      <w:lvlText w:val=""/>
      <w:lvlJc w:val="left"/>
      <w:pPr>
        <w:ind w:left="720" w:hanging="360"/>
      </w:pPr>
      <w:rPr>
        <w:rFonts w:ascii="Symbol" w:hAnsi="Symbol" w:hint="default"/>
      </w:rPr>
    </w:lvl>
    <w:lvl w:ilvl="1" w:tplc="345E6520">
      <w:start w:val="1"/>
      <w:numFmt w:val="bullet"/>
      <w:lvlText w:val="o"/>
      <w:lvlJc w:val="left"/>
      <w:pPr>
        <w:ind w:left="1440" w:hanging="360"/>
      </w:pPr>
      <w:rPr>
        <w:rFonts w:ascii="Courier New" w:hAnsi="Courier New" w:hint="default"/>
      </w:rPr>
    </w:lvl>
    <w:lvl w:ilvl="2" w:tplc="E82C9C46">
      <w:start w:val="1"/>
      <w:numFmt w:val="bullet"/>
      <w:lvlText w:val=""/>
      <w:lvlJc w:val="left"/>
      <w:pPr>
        <w:ind w:left="2160" w:hanging="360"/>
      </w:pPr>
      <w:rPr>
        <w:rFonts w:ascii="Wingdings" w:hAnsi="Wingdings" w:hint="default"/>
      </w:rPr>
    </w:lvl>
    <w:lvl w:ilvl="3" w:tplc="B0DEA174">
      <w:start w:val="1"/>
      <w:numFmt w:val="bullet"/>
      <w:lvlText w:val=""/>
      <w:lvlJc w:val="left"/>
      <w:pPr>
        <w:ind w:left="2880" w:hanging="360"/>
      </w:pPr>
      <w:rPr>
        <w:rFonts w:ascii="Symbol" w:hAnsi="Symbol" w:hint="default"/>
      </w:rPr>
    </w:lvl>
    <w:lvl w:ilvl="4" w:tplc="8BC4465A">
      <w:start w:val="1"/>
      <w:numFmt w:val="bullet"/>
      <w:lvlText w:val="o"/>
      <w:lvlJc w:val="left"/>
      <w:pPr>
        <w:ind w:left="3600" w:hanging="360"/>
      </w:pPr>
      <w:rPr>
        <w:rFonts w:ascii="Courier New" w:hAnsi="Courier New" w:hint="default"/>
      </w:rPr>
    </w:lvl>
    <w:lvl w:ilvl="5" w:tplc="5396071A">
      <w:start w:val="1"/>
      <w:numFmt w:val="bullet"/>
      <w:lvlText w:val=""/>
      <w:lvlJc w:val="left"/>
      <w:pPr>
        <w:ind w:left="4320" w:hanging="360"/>
      </w:pPr>
      <w:rPr>
        <w:rFonts w:ascii="Wingdings" w:hAnsi="Wingdings" w:hint="default"/>
      </w:rPr>
    </w:lvl>
    <w:lvl w:ilvl="6" w:tplc="E7A40116">
      <w:start w:val="1"/>
      <w:numFmt w:val="bullet"/>
      <w:lvlText w:val=""/>
      <w:lvlJc w:val="left"/>
      <w:pPr>
        <w:ind w:left="5040" w:hanging="360"/>
      </w:pPr>
      <w:rPr>
        <w:rFonts w:ascii="Symbol" w:hAnsi="Symbol" w:hint="default"/>
      </w:rPr>
    </w:lvl>
    <w:lvl w:ilvl="7" w:tplc="110A1312">
      <w:start w:val="1"/>
      <w:numFmt w:val="bullet"/>
      <w:lvlText w:val="o"/>
      <w:lvlJc w:val="left"/>
      <w:pPr>
        <w:ind w:left="5760" w:hanging="360"/>
      </w:pPr>
      <w:rPr>
        <w:rFonts w:ascii="Courier New" w:hAnsi="Courier New" w:hint="default"/>
      </w:rPr>
    </w:lvl>
    <w:lvl w:ilvl="8" w:tplc="08367156">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5BEAA40E"/>
    <w:lvl w:ilvl="0" w:tplc="46603706">
      <w:start w:val="1"/>
      <w:numFmt w:val="bullet"/>
      <w:lvlText w:val="·"/>
      <w:lvlJc w:val="left"/>
      <w:pPr>
        <w:ind w:left="720" w:hanging="360"/>
      </w:pPr>
      <w:rPr>
        <w:rFonts w:ascii="Symbol" w:hAnsi="Symbol" w:hint="default"/>
      </w:rPr>
    </w:lvl>
    <w:lvl w:ilvl="1" w:tplc="378AF3A2">
      <w:start w:val="1"/>
      <w:numFmt w:val="bullet"/>
      <w:lvlText w:val="o"/>
      <w:lvlJc w:val="left"/>
      <w:pPr>
        <w:ind w:left="1440" w:hanging="360"/>
      </w:pPr>
      <w:rPr>
        <w:rFonts w:ascii="Courier New" w:hAnsi="Courier New" w:hint="default"/>
      </w:rPr>
    </w:lvl>
    <w:lvl w:ilvl="2" w:tplc="2EEA2DAA">
      <w:start w:val="1"/>
      <w:numFmt w:val="bullet"/>
      <w:lvlText w:val=""/>
      <w:lvlJc w:val="left"/>
      <w:pPr>
        <w:ind w:left="2160" w:hanging="360"/>
      </w:pPr>
      <w:rPr>
        <w:rFonts w:ascii="Wingdings" w:hAnsi="Wingdings" w:hint="default"/>
      </w:rPr>
    </w:lvl>
    <w:lvl w:ilvl="3" w:tplc="329C1624">
      <w:start w:val="1"/>
      <w:numFmt w:val="bullet"/>
      <w:lvlText w:val=""/>
      <w:lvlJc w:val="left"/>
      <w:pPr>
        <w:ind w:left="2880" w:hanging="360"/>
      </w:pPr>
      <w:rPr>
        <w:rFonts w:ascii="Symbol" w:hAnsi="Symbol" w:hint="default"/>
      </w:rPr>
    </w:lvl>
    <w:lvl w:ilvl="4" w:tplc="A0BCBB52">
      <w:start w:val="1"/>
      <w:numFmt w:val="bullet"/>
      <w:lvlText w:val="o"/>
      <w:lvlJc w:val="left"/>
      <w:pPr>
        <w:ind w:left="3600" w:hanging="360"/>
      </w:pPr>
      <w:rPr>
        <w:rFonts w:ascii="Courier New" w:hAnsi="Courier New" w:hint="default"/>
      </w:rPr>
    </w:lvl>
    <w:lvl w:ilvl="5" w:tplc="C8A27110">
      <w:start w:val="1"/>
      <w:numFmt w:val="bullet"/>
      <w:lvlText w:val=""/>
      <w:lvlJc w:val="left"/>
      <w:pPr>
        <w:ind w:left="4320" w:hanging="360"/>
      </w:pPr>
      <w:rPr>
        <w:rFonts w:ascii="Wingdings" w:hAnsi="Wingdings" w:hint="default"/>
      </w:rPr>
    </w:lvl>
    <w:lvl w:ilvl="6" w:tplc="F6F607E2">
      <w:start w:val="1"/>
      <w:numFmt w:val="bullet"/>
      <w:lvlText w:val=""/>
      <w:lvlJc w:val="left"/>
      <w:pPr>
        <w:ind w:left="5040" w:hanging="360"/>
      </w:pPr>
      <w:rPr>
        <w:rFonts w:ascii="Symbol" w:hAnsi="Symbol" w:hint="default"/>
      </w:rPr>
    </w:lvl>
    <w:lvl w:ilvl="7" w:tplc="E516FC36">
      <w:start w:val="1"/>
      <w:numFmt w:val="bullet"/>
      <w:lvlText w:val="o"/>
      <w:lvlJc w:val="left"/>
      <w:pPr>
        <w:ind w:left="5760" w:hanging="360"/>
      </w:pPr>
      <w:rPr>
        <w:rFonts w:ascii="Courier New" w:hAnsi="Courier New" w:hint="default"/>
      </w:rPr>
    </w:lvl>
    <w:lvl w:ilvl="8" w:tplc="6E88F148">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039016F4"/>
    <w:lvl w:ilvl="0" w:tplc="D98434D6">
      <w:start w:val="1"/>
      <w:numFmt w:val="bullet"/>
      <w:lvlText w:val=""/>
      <w:lvlJc w:val="left"/>
      <w:pPr>
        <w:ind w:left="720" w:hanging="360"/>
      </w:pPr>
      <w:rPr>
        <w:rFonts w:ascii="Symbol" w:hAnsi="Symbol" w:hint="default"/>
      </w:rPr>
    </w:lvl>
    <w:lvl w:ilvl="1" w:tplc="5874B234">
      <w:start w:val="1"/>
      <w:numFmt w:val="bullet"/>
      <w:lvlText w:val="o"/>
      <w:lvlJc w:val="left"/>
      <w:pPr>
        <w:ind w:left="1440" w:hanging="360"/>
      </w:pPr>
      <w:rPr>
        <w:rFonts w:ascii="Courier New" w:hAnsi="Courier New" w:hint="default"/>
      </w:rPr>
    </w:lvl>
    <w:lvl w:ilvl="2" w:tplc="046A9254">
      <w:start w:val="1"/>
      <w:numFmt w:val="bullet"/>
      <w:lvlText w:val=""/>
      <w:lvlJc w:val="left"/>
      <w:pPr>
        <w:ind w:left="2160" w:hanging="360"/>
      </w:pPr>
      <w:rPr>
        <w:rFonts w:ascii="Wingdings" w:hAnsi="Wingdings" w:hint="default"/>
      </w:rPr>
    </w:lvl>
    <w:lvl w:ilvl="3" w:tplc="35E061F4">
      <w:start w:val="1"/>
      <w:numFmt w:val="bullet"/>
      <w:lvlText w:val=""/>
      <w:lvlJc w:val="left"/>
      <w:pPr>
        <w:ind w:left="2880" w:hanging="360"/>
      </w:pPr>
      <w:rPr>
        <w:rFonts w:ascii="Symbol" w:hAnsi="Symbol" w:hint="default"/>
      </w:rPr>
    </w:lvl>
    <w:lvl w:ilvl="4" w:tplc="472CD446">
      <w:start w:val="1"/>
      <w:numFmt w:val="bullet"/>
      <w:lvlText w:val="o"/>
      <w:lvlJc w:val="left"/>
      <w:pPr>
        <w:ind w:left="3600" w:hanging="360"/>
      </w:pPr>
      <w:rPr>
        <w:rFonts w:ascii="Courier New" w:hAnsi="Courier New" w:hint="default"/>
      </w:rPr>
    </w:lvl>
    <w:lvl w:ilvl="5" w:tplc="1E6437C4">
      <w:start w:val="1"/>
      <w:numFmt w:val="bullet"/>
      <w:lvlText w:val=""/>
      <w:lvlJc w:val="left"/>
      <w:pPr>
        <w:ind w:left="4320" w:hanging="360"/>
      </w:pPr>
      <w:rPr>
        <w:rFonts w:ascii="Wingdings" w:hAnsi="Wingdings" w:hint="default"/>
      </w:rPr>
    </w:lvl>
    <w:lvl w:ilvl="6" w:tplc="A9826912">
      <w:start w:val="1"/>
      <w:numFmt w:val="bullet"/>
      <w:lvlText w:val=""/>
      <w:lvlJc w:val="left"/>
      <w:pPr>
        <w:ind w:left="5040" w:hanging="360"/>
      </w:pPr>
      <w:rPr>
        <w:rFonts w:ascii="Symbol" w:hAnsi="Symbol" w:hint="default"/>
      </w:rPr>
    </w:lvl>
    <w:lvl w:ilvl="7" w:tplc="729086F8">
      <w:start w:val="1"/>
      <w:numFmt w:val="bullet"/>
      <w:lvlText w:val="o"/>
      <w:lvlJc w:val="left"/>
      <w:pPr>
        <w:ind w:left="5760" w:hanging="360"/>
      </w:pPr>
      <w:rPr>
        <w:rFonts w:ascii="Courier New" w:hAnsi="Courier New" w:hint="default"/>
      </w:rPr>
    </w:lvl>
    <w:lvl w:ilvl="8" w:tplc="45AE6F30">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6D12E5D2"/>
    <w:lvl w:ilvl="0" w:tplc="6F64A6D6">
      <w:start w:val="1"/>
      <w:numFmt w:val="bullet"/>
      <w:lvlText w:val="·"/>
      <w:lvlJc w:val="left"/>
      <w:pPr>
        <w:ind w:left="720" w:hanging="360"/>
      </w:pPr>
      <w:rPr>
        <w:rFonts w:ascii="Symbol" w:hAnsi="Symbol" w:hint="default"/>
      </w:rPr>
    </w:lvl>
    <w:lvl w:ilvl="1" w:tplc="04687AEE">
      <w:start w:val="1"/>
      <w:numFmt w:val="bullet"/>
      <w:lvlText w:val="o"/>
      <w:lvlJc w:val="left"/>
      <w:pPr>
        <w:ind w:left="1440" w:hanging="360"/>
      </w:pPr>
      <w:rPr>
        <w:rFonts w:ascii="Courier New" w:hAnsi="Courier New" w:hint="default"/>
      </w:rPr>
    </w:lvl>
    <w:lvl w:ilvl="2" w:tplc="626A0FBA">
      <w:start w:val="1"/>
      <w:numFmt w:val="bullet"/>
      <w:lvlText w:val=""/>
      <w:lvlJc w:val="left"/>
      <w:pPr>
        <w:ind w:left="2160" w:hanging="360"/>
      </w:pPr>
      <w:rPr>
        <w:rFonts w:ascii="Wingdings" w:hAnsi="Wingdings" w:hint="default"/>
      </w:rPr>
    </w:lvl>
    <w:lvl w:ilvl="3" w:tplc="9CBEB334">
      <w:start w:val="1"/>
      <w:numFmt w:val="bullet"/>
      <w:lvlText w:val=""/>
      <w:lvlJc w:val="left"/>
      <w:pPr>
        <w:ind w:left="2880" w:hanging="360"/>
      </w:pPr>
      <w:rPr>
        <w:rFonts w:ascii="Symbol" w:hAnsi="Symbol" w:hint="default"/>
      </w:rPr>
    </w:lvl>
    <w:lvl w:ilvl="4" w:tplc="4552EFC8">
      <w:start w:val="1"/>
      <w:numFmt w:val="bullet"/>
      <w:lvlText w:val="o"/>
      <w:lvlJc w:val="left"/>
      <w:pPr>
        <w:ind w:left="3600" w:hanging="360"/>
      </w:pPr>
      <w:rPr>
        <w:rFonts w:ascii="Courier New" w:hAnsi="Courier New" w:hint="default"/>
      </w:rPr>
    </w:lvl>
    <w:lvl w:ilvl="5" w:tplc="6E4E1E2C">
      <w:start w:val="1"/>
      <w:numFmt w:val="bullet"/>
      <w:lvlText w:val=""/>
      <w:lvlJc w:val="left"/>
      <w:pPr>
        <w:ind w:left="4320" w:hanging="360"/>
      </w:pPr>
      <w:rPr>
        <w:rFonts w:ascii="Wingdings" w:hAnsi="Wingdings" w:hint="default"/>
      </w:rPr>
    </w:lvl>
    <w:lvl w:ilvl="6" w:tplc="F98AE176">
      <w:start w:val="1"/>
      <w:numFmt w:val="bullet"/>
      <w:lvlText w:val=""/>
      <w:lvlJc w:val="left"/>
      <w:pPr>
        <w:ind w:left="5040" w:hanging="360"/>
      </w:pPr>
      <w:rPr>
        <w:rFonts w:ascii="Symbol" w:hAnsi="Symbol" w:hint="default"/>
      </w:rPr>
    </w:lvl>
    <w:lvl w:ilvl="7" w:tplc="079E79B6">
      <w:start w:val="1"/>
      <w:numFmt w:val="bullet"/>
      <w:lvlText w:val="o"/>
      <w:lvlJc w:val="left"/>
      <w:pPr>
        <w:ind w:left="5760" w:hanging="360"/>
      </w:pPr>
      <w:rPr>
        <w:rFonts w:ascii="Courier New" w:hAnsi="Courier New" w:hint="default"/>
      </w:rPr>
    </w:lvl>
    <w:lvl w:ilvl="8" w:tplc="B9021378">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14028FB"/>
    <w:multiLevelType w:val="hybridMultilevel"/>
    <w:tmpl w:val="BA665EDA"/>
    <w:lvl w:ilvl="0" w:tplc="52D87C7C">
      <w:start w:val="1"/>
      <w:numFmt w:val="bullet"/>
      <w:lvlText w:val="•"/>
      <w:lvlJc w:val="left"/>
      <w:pPr>
        <w:ind w:left="720" w:hanging="360"/>
      </w:pPr>
    </w:lvl>
    <w:lvl w:ilvl="1" w:tplc="0C186AEE">
      <w:numFmt w:val="decimal"/>
      <w:lvlText w:val=""/>
      <w:lvlJc w:val="left"/>
    </w:lvl>
    <w:lvl w:ilvl="2" w:tplc="AD622B08">
      <w:numFmt w:val="decimal"/>
      <w:lvlText w:val=""/>
      <w:lvlJc w:val="left"/>
    </w:lvl>
    <w:lvl w:ilvl="3" w:tplc="50682EFA">
      <w:numFmt w:val="decimal"/>
      <w:lvlText w:val=""/>
      <w:lvlJc w:val="left"/>
    </w:lvl>
    <w:lvl w:ilvl="4" w:tplc="7B7823C8">
      <w:numFmt w:val="decimal"/>
      <w:lvlText w:val=""/>
      <w:lvlJc w:val="left"/>
    </w:lvl>
    <w:lvl w:ilvl="5" w:tplc="F15E4AC6">
      <w:numFmt w:val="decimal"/>
      <w:lvlText w:val=""/>
      <w:lvlJc w:val="left"/>
    </w:lvl>
    <w:lvl w:ilvl="6" w:tplc="18CEE180">
      <w:numFmt w:val="decimal"/>
      <w:lvlText w:val=""/>
      <w:lvlJc w:val="left"/>
    </w:lvl>
    <w:lvl w:ilvl="7" w:tplc="B170CCDA">
      <w:numFmt w:val="decimal"/>
      <w:lvlText w:val=""/>
      <w:lvlJc w:val="left"/>
    </w:lvl>
    <w:lvl w:ilvl="8" w:tplc="7CA426A8">
      <w:numFmt w:val="decimal"/>
      <w:lvlText w:val=""/>
      <w:lvlJc w:val="left"/>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862A9C68"/>
    <w:lvl w:ilvl="0" w:tplc="F2487D4C">
      <w:start w:val="1"/>
      <w:numFmt w:val="bullet"/>
      <w:lvlText w:val=""/>
      <w:lvlJc w:val="left"/>
      <w:pPr>
        <w:ind w:left="720" w:hanging="360"/>
      </w:pPr>
      <w:rPr>
        <w:rFonts w:ascii="Symbol" w:hAnsi="Symbol" w:hint="default"/>
      </w:rPr>
    </w:lvl>
    <w:lvl w:ilvl="1" w:tplc="637CFA04">
      <w:start w:val="1"/>
      <w:numFmt w:val="bullet"/>
      <w:lvlText w:val="o"/>
      <w:lvlJc w:val="left"/>
      <w:pPr>
        <w:ind w:left="1440" w:hanging="360"/>
      </w:pPr>
      <w:rPr>
        <w:rFonts w:ascii="Courier New" w:hAnsi="Courier New" w:hint="default"/>
      </w:rPr>
    </w:lvl>
    <w:lvl w:ilvl="2" w:tplc="FDC4E3A4">
      <w:start w:val="1"/>
      <w:numFmt w:val="bullet"/>
      <w:lvlText w:val=""/>
      <w:lvlJc w:val="left"/>
      <w:pPr>
        <w:ind w:left="2160" w:hanging="360"/>
      </w:pPr>
      <w:rPr>
        <w:rFonts w:ascii="Wingdings" w:hAnsi="Wingdings" w:hint="default"/>
      </w:rPr>
    </w:lvl>
    <w:lvl w:ilvl="3" w:tplc="868C37A8">
      <w:start w:val="1"/>
      <w:numFmt w:val="bullet"/>
      <w:lvlText w:val=""/>
      <w:lvlJc w:val="left"/>
      <w:pPr>
        <w:ind w:left="2880" w:hanging="360"/>
      </w:pPr>
      <w:rPr>
        <w:rFonts w:ascii="Symbol" w:hAnsi="Symbol" w:hint="default"/>
      </w:rPr>
    </w:lvl>
    <w:lvl w:ilvl="4" w:tplc="87B01086">
      <w:start w:val="1"/>
      <w:numFmt w:val="bullet"/>
      <w:lvlText w:val="o"/>
      <w:lvlJc w:val="left"/>
      <w:pPr>
        <w:ind w:left="3600" w:hanging="360"/>
      </w:pPr>
      <w:rPr>
        <w:rFonts w:ascii="Courier New" w:hAnsi="Courier New" w:hint="default"/>
      </w:rPr>
    </w:lvl>
    <w:lvl w:ilvl="5" w:tplc="271E36DA">
      <w:start w:val="1"/>
      <w:numFmt w:val="bullet"/>
      <w:lvlText w:val=""/>
      <w:lvlJc w:val="left"/>
      <w:pPr>
        <w:ind w:left="4320" w:hanging="360"/>
      </w:pPr>
      <w:rPr>
        <w:rFonts w:ascii="Wingdings" w:hAnsi="Wingdings" w:hint="default"/>
      </w:rPr>
    </w:lvl>
    <w:lvl w:ilvl="6" w:tplc="B4081C88">
      <w:start w:val="1"/>
      <w:numFmt w:val="bullet"/>
      <w:lvlText w:val=""/>
      <w:lvlJc w:val="left"/>
      <w:pPr>
        <w:ind w:left="5040" w:hanging="360"/>
      </w:pPr>
      <w:rPr>
        <w:rFonts w:ascii="Symbol" w:hAnsi="Symbol" w:hint="default"/>
      </w:rPr>
    </w:lvl>
    <w:lvl w:ilvl="7" w:tplc="E85EEABA">
      <w:start w:val="1"/>
      <w:numFmt w:val="bullet"/>
      <w:lvlText w:val="o"/>
      <w:lvlJc w:val="left"/>
      <w:pPr>
        <w:ind w:left="5760" w:hanging="360"/>
      </w:pPr>
      <w:rPr>
        <w:rFonts w:ascii="Courier New" w:hAnsi="Courier New" w:hint="default"/>
      </w:rPr>
    </w:lvl>
    <w:lvl w:ilvl="8" w:tplc="7B2263C0">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60D2EB2A"/>
    <w:lvl w:ilvl="0" w:tplc="62E8DFB0">
      <w:start w:val="1"/>
      <w:numFmt w:val="bullet"/>
      <w:lvlText w:val="·"/>
      <w:lvlJc w:val="left"/>
      <w:pPr>
        <w:ind w:left="720" w:hanging="360"/>
      </w:pPr>
      <w:rPr>
        <w:rFonts w:ascii="Symbol" w:hAnsi="Symbol" w:hint="default"/>
      </w:rPr>
    </w:lvl>
    <w:lvl w:ilvl="1" w:tplc="1896ABB2">
      <w:start w:val="1"/>
      <w:numFmt w:val="bullet"/>
      <w:lvlText w:val="o"/>
      <w:lvlJc w:val="left"/>
      <w:pPr>
        <w:ind w:left="1440" w:hanging="360"/>
      </w:pPr>
      <w:rPr>
        <w:rFonts w:ascii="Courier New" w:hAnsi="Courier New" w:hint="default"/>
      </w:rPr>
    </w:lvl>
    <w:lvl w:ilvl="2" w:tplc="5868F124">
      <w:start w:val="1"/>
      <w:numFmt w:val="bullet"/>
      <w:lvlText w:val=""/>
      <w:lvlJc w:val="left"/>
      <w:pPr>
        <w:ind w:left="2160" w:hanging="360"/>
      </w:pPr>
      <w:rPr>
        <w:rFonts w:ascii="Wingdings" w:hAnsi="Wingdings" w:hint="default"/>
      </w:rPr>
    </w:lvl>
    <w:lvl w:ilvl="3" w:tplc="960236A2">
      <w:start w:val="1"/>
      <w:numFmt w:val="bullet"/>
      <w:lvlText w:val=""/>
      <w:lvlJc w:val="left"/>
      <w:pPr>
        <w:ind w:left="2880" w:hanging="360"/>
      </w:pPr>
      <w:rPr>
        <w:rFonts w:ascii="Symbol" w:hAnsi="Symbol" w:hint="default"/>
      </w:rPr>
    </w:lvl>
    <w:lvl w:ilvl="4" w:tplc="2D02F112">
      <w:start w:val="1"/>
      <w:numFmt w:val="bullet"/>
      <w:lvlText w:val="o"/>
      <w:lvlJc w:val="left"/>
      <w:pPr>
        <w:ind w:left="3600" w:hanging="360"/>
      </w:pPr>
      <w:rPr>
        <w:rFonts w:ascii="Courier New" w:hAnsi="Courier New" w:hint="default"/>
      </w:rPr>
    </w:lvl>
    <w:lvl w:ilvl="5" w:tplc="C12EB8DC">
      <w:start w:val="1"/>
      <w:numFmt w:val="bullet"/>
      <w:lvlText w:val=""/>
      <w:lvlJc w:val="left"/>
      <w:pPr>
        <w:ind w:left="4320" w:hanging="360"/>
      </w:pPr>
      <w:rPr>
        <w:rFonts w:ascii="Wingdings" w:hAnsi="Wingdings" w:hint="default"/>
      </w:rPr>
    </w:lvl>
    <w:lvl w:ilvl="6" w:tplc="743209A8">
      <w:start w:val="1"/>
      <w:numFmt w:val="bullet"/>
      <w:lvlText w:val=""/>
      <w:lvlJc w:val="left"/>
      <w:pPr>
        <w:ind w:left="5040" w:hanging="360"/>
      </w:pPr>
      <w:rPr>
        <w:rFonts w:ascii="Symbol" w:hAnsi="Symbol" w:hint="default"/>
      </w:rPr>
    </w:lvl>
    <w:lvl w:ilvl="7" w:tplc="D94A6FD2">
      <w:start w:val="1"/>
      <w:numFmt w:val="bullet"/>
      <w:lvlText w:val="o"/>
      <w:lvlJc w:val="left"/>
      <w:pPr>
        <w:ind w:left="5760" w:hanging="360"/>
      </w:pPr>
      <w:rPr>
        <w:rFonts w:ascii="Courier New" w:hAnsi="Courier New" w:hint="default"/>
      </w:rPr>
    </w:lvl>
    <w:lvl w:ilvl="8" w:tplc="3CCAA26E">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4101075">
    <w:abstractNumId w:val="9"/>
  </w:num>
  <w:num w:numId="2" w16cid:durableId="123891355">
    <w:abstractNumId w:val="18"/>
  </w:num>
  <w:num w:numId="3" w16cid:durableId="1051416095">
    <w:abstractNumId w:val="55"/>
  </w:num>
  <w:num w:numId="4" w16cid:durableId="1679120037">
    <w:abstractNumId w:val="56"/>
  </w:num>
  <w:num w:numId="5" w16cid:durableId="1972781177">
    <w:abstractNumId w:val="20"/>
  </w:num>
  <w:num w:numId="6" w16cid:durableId="894198178">
    <w:abstractNumId w:val="0"/>
  </w:num>
  <w:num w:numId="7" w16cid:durableId="2038458201">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8"/>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60"/>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5"/>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9"/>
  </w:num>
  <w:num w:numId="64" w16cid:durableId="970208203">
    <w:abstractNumId w:val="36"/>
  </w:num>
  <w:num w:numId="65" w16cid:durableId="1296519098">
    <w:abstractNumId w:val="54"/>
  </w:num>
  <w:num w:numId="66" w16cid:durableId="1859998552">
    <w:abstractNumId w:val="24"/>
  </w:num>
  <w:num w:numId="67" w16cid:durableId="72356661">
    <w:abstractNumId w:val="5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8689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44008"/>
    <w:rsid w:val="003669C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A4A7A"/>
    <w:rsid w:val="004B7D7F"/>
    <w:rsid w:val="004D1E63"/>
    <w:rsid w:val="004D2487"/>
    <w:rsid w:val="00513689"/>
    <w:rsid w:val="00526E2B"/>
    <w:rsid w:val="00556113"/>
    <w:rsid w:val="005628FF"/>
    <w:rsid w:val="005E60E6"/>
    <w:rsid w:val="0063017D"/>
    <w:rsid w:val="00635876"/>
    <w:rsid w:val="00660794"/>
    <w:rsid w:val="00661C9D"/>
    <w:rsid w:val="00683FC0"/>
    <w:rsid w:val="006A189F"/>
    <w:rsid w:val="006A2CA9"/>
    <w:rsid w:val="006C0A34"/>
    <w:rsid w:val="006C35EE"/>
    <w:rsid w:val="006E0FA0"/>
    <w:rsid w:val="006E372F"/>
    <w:rsid w:val="00741192"/>
    <w:rsid w:val="0078332D"/>
    <w:rsid w:val="00792F4D"/>
    <w:rsid w:val="007A6F89"/>
    <w:rsid w:val="007E2525"/>
    <w:rsid w:val="007F3381"/>
    <w:rsid w:val="007F5B30"/>
    <w:rsid w:val="008161AE"/>
    <w:rsid w:val="00826199"/>
    <w:rsid w:val="00840C2F"/>
    <w:rsid w:val="0084118E"/>
    <w:rsid w:val="008475E1"/>
    <w:rsid w:val="0085042B"/>
    <w:rsid w:val="008558BA"/>
    <w:rsid w:val="00873DDA"/>
    <w:rsid w:val="008822EF"/>
    <w:rsid w:val="00886D98"/>
    <w:rsid w:val="00887BD0"/>
    <w:rsid w:val="008C4F9B"/>
    <w:rsid w:val="008D1313"/>
    <w:rsid w:val="008E119F"/>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86EF6"/>
    <w:rsid w:val="00992065"/>
    <w:rsid w:val="009A7811"/>
    <w:rsid w:val="009C400C"/>
    <w:rsid w:val="009C470C"/>
    <w:rsid w:val="009D584D"/>
    <w:rsid w:val="009E2DAB"/>
    <w:rsid w:val="00A01A44"/>
    <w:rsid w:val="00A24835"/>
    <w:rsid w:val="00A32281"/>
    <w:rsid w:val="00A71837"/>
    <w:rsid w:val="00A77884"/>
    <w:rsid w:val="00A80D63"/>
    <w:rsid w:val="00A82376"/>
    <w:rsid w:val="00AC60CF"/>
    <w:rsid w:val="00AE6D47"/>
    <w:rsid w:val="00AF03CD"/>
    <w:rsid w:val="00B34376"/>
    <w:rsid w:val="00B37B02"/>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7DF"/>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91C88"/>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info@fightingblindness.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2.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4.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1</TotalTime>
  <Pages>6</Pages>
  <Words>1632</Words>
  <Characters>9304</Characters>
  <Application>Microsoft Office Word</Application>
  <DocSecurity>0</DocSecurity>
  <Lines>77</Lines>
  <Paragraphs>21</Paragraphs>
  <ScaleCrop>false</ScaleCrop>
  <Company/>
  <LinksUpToDate>false</LinksUpToDate>
  <CharactersWithSpaces>10915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26</cp:revision>
  <cp:lastPrinted>2019-06-07T18:48:00Z</cp:lastPrinted>
  <dcterms:created xsi:type="dcterms:W3CDTF">2025-01-10T16:35:00Z</dcterms:created>
  <dcterms:modified xsi:type="dcterms:W3CDTF">2026-04-16T12:51:00Z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