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91314" w14:textId="77777777" w:rsidR="00EB7486" w:rsidRDefault="00EB7486" w:rsidP="00EB7486">
      <w:pPr>
        <w:pStyle w:val="Heading1"/>
      </w:pPr>
      <w:r>
        <w:t>AMD Coffee Connections – Victoria</w:t>
      </w:r>
    </w:p>
    <w:p w14:paraId="6D2DDCF3" w14:textId="77777777" w:rsidR="00EB7486" w:rsidRDefault="00EB7486" w:rsidP="00EB7486">
      <w:pPr>
        <w:spacing w:after="240"/>
      </w:pPr>
      <w:r>
        <w:rPr>
          <w:b/>
          <w:bCs/>
        </w:rPr>
        <w:t xml:space="preserve">Speakers: </w:t>
      </w:r>
      <w:r>
        <w:t xml:space="preserve">Morgan Ineson; Dr. Daniel Warder; Donna McLachlan; Jessica Thomson; Ushany </w:t>
      </w:r>
      <w:proofErr w:type="spellStart"/>
      <w:r>
        <w:t>Kanagendiran</w:t>
      </w:r>
      <w:proofErr w:type="spellEnd"/>
    </w:p>
    <w:p w14:paraId="13824BB1" w14:textId="77777777" w:rsidR="00EB7486" w:rsidRDefault="00EB7486" w:rsidP="00EB7486">
      <w:pPr>
        <w:pStyle w:val="Heading1"/>
      </w:pPr>
      <w:r>
        <w:t>Part One: Expert Discussion</w:t>
      </w:r>
    </w:p>
    <w:p w14:paraId="089E910F" w14:textId="77777777" w:rsidR="00EB7486" w:rsidRDefault="00EB7486" w:rsidP="00EB7486">
      <w:pPr>
        <w:pStyle w:val="Heading2"/>
      </w:pPr>
      <w:r>
        <w:t>Overview and Disclaimer</w:t>
      </w:r>
    </w:p>
    <w:p w14:paraId="462F9210" w14:textId="77777777" w:rsidR="00EB7486" w:rsidRDefault="00EB7486" w:rsidP="00EB7486">
      <w:pPr>
        <w:spacing w:after="120"/>
      </w:pPr>
      <w:r>
        <w:rPr>
          <w:b/>
          <w:bCs/>
        </w:rPr>
        <w:t xml:space="preserve">Morgan Ineson: </w:t>
      </w:r>
      <w:r>
        <w:t xml:space="preserve">Today’s program will have a few parts. We’ll start with a discussion with Dr. Warder about AMD, then </w:t>
      </w:r>
      <w:proofErr w:type="gramStart"/>
      <w:r>
        <w:t>open up</w:t>
      </w:r>
      <w:proofErr w:type="gramEnd"/>
      <w:r>
        <w:t xml:space="preserve"> to your questions. After a short break, Donna and Jessica will share their lived experience with AMD, and then we’ll have some time to connect with one another.</w:t>
      </w:r>
    </w:p>
    <w:p w14:paraId="2A0350B2" w14:textId="77777777" w:rsidR="00EB7486" w:rsidRDefault="00EB7486" w:rsidP="00EB7486">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5C3B912F" w14:textId="77777777" w:rsidR="00EB7486" w:rsidRDefault="00EB7486" w:rsidP="00EB7486">
      <w:pPr>
        <w:spacing w:after="120"/>
      </w:pPr>
      <w:r>
        <w:t>I’m delighted to introduce Dr. Daniel Warder, an ophthalmologist with subspecialty training in vitreoretinal surgery and a member of the Division of Surgery at Island Health. He has been practicing in Victoria for over a decade. Welcome, Dr. Warder — thank you so much for being here.</w:t>
      </w:r>
    </w:p>
    <w:p w14:paraId="743D8DB7" w14:textId="77777777" w:rsidR="00EB7486" w:rsidRDefault="00EB7486" w:rsidP="00EB7486">
      <w:pPr>
        <w:spacing w:after="120"/>
      </w:pPr>
      <w:r>
        <w:rPr>
          <w:b/>
          <w:bCs/>
        </w:rPr>
        <w:t xml:space="preserve">Dr. Daniel Warder: </w:t>
      </w:r>
      <w:r>
        <w:t>Thank you — it’s a pleasure to be here on a lovely, sunny morning. I recognize some faces in the audience, and it’s nice to meet a few new folks as well. I’m happy to be here. It beats sitting in the clinic.</w:t>
      </w:r>
    </w:p>
    <w:p w14:paraId="787296EB" w14:textId="77777777" w:rsidR="00EB7486" w:rsidRDefault="00EB7486" w:rsidP="00EB7486">
      <w:pPr>
        <w:spacing w:after="80"/>
      </w:pPr>
    </w:p>
    <w:p w14:paraId="5F14B5DF" w14:textId="77777777" w:rsidR="00EB7486" w:rsidRDefault="00EB7486" w:rsidP="00EB7486">
      <w:pPr>
        <w:pStyle w:val="Heading2"/>
      </w:pPr>
      <w:r>
        <w:t>What Is AMD? Dry vs. Wet</w:t>
      </w:r>
    </w:p>
    <w:p w14:paraId="389219A2" w14:textId="77777777" w:rsidR="00EB7486" w:rsidRDefault="00EB7486" w:rsidP="00EB7486">
      <w:pPr>
        <w:spacing w:after="120"/>
      </w:pPr>
      <w:r>
        <w:rPr>
          <w:b/>
          <w:bCs/>
        </w:rPr>
        <w:t xml:space="preserve">Morgan Ineson: </w:t>
      </w:r>
      <w:r>
        <w:t>Could you start by explaining what age-related macular degeneration is, and what the difference is between dry and wet AMD?</w:t>
      </w:r>
    </w:p>
    <w:p w14:paraId="57EE2BB9" w14:textId="77777777" w:rsidR="00EB7486" w:rsidRDefault="00EB7486" w:rsidP="00EB7486">
      <w:pPr>
        <w:spacing w:after="120"/>
      </w:pPr>
      <w:r>
        <w:rPr>
          <w:b/>
          <w:bCs/>
        </w:rPr>
        <w:t xml:space="preserve">Dr. Daniel Warder: </w:t>
      </w:r>
      <w:r>
        <w:t>Of course — it’s a very common question, and one we sometimes assume people already know the answer to. AMD stands for age-related macular degeneration. It’s a condition that affects the back of the eye. If you imagine the eye like a camera, the retina is like the film — it lines the back of the eye, receives the light focused by the lens at the front, and sends signals to the brain so we can perceive images. The macula is the central part of the retina responsible for fine central vision: seeing detail, reading fine print, recognizing faces.</w:t>
      </w:r>
    </w:p>
    <w:p w14:paraId="67104A2C" w14:textId="77777777" w:rsidR="00EB7486" w:rsidRDefault="00EB7486" w:rsidP="00EB7486">
      <w:pPr>
        <w:spacing w:after="120"/>
      </w:pPr>
      <w:r>
        <w:t>Macular degeneration is a degenerative process that affects the macula as we age. The fine structures underneath the retina — the photoreceptors, the rods and cones, and the pigment layer the retina rests on — gradually wear out over decades of use. These are extremely small, specialized cells responsible for a very important task, and degeneration can result in loss of central vision. AMD often runs in families, so there is a strong genetic component.</w:t>
      </w:r>
    </w:p>
    <w:p w14:paraId="76FA5E63" w14:textId="77777777" w:rsidR="00EB7486" w:rsidRDefault="00EB7486" w:rsidP="00EB7486">
      <w:pPr>
        <w:spacing w:after="120"/>
      </w:pPr>
      <w:r>
        <w:lastRenderedPageBreak/>
        <w:t>There are two broad categories: dry AMD and wet AMD. Dry AMD is the most common form. It’s characterized by a slow degenerative process, including the loss of the pigment layer and the accumulation of deposits called drusen underneath the retina. Many people with dry AMD have no vision loss at all, and some never progress to a more severe stage.</w:t>
      </w:r>
    </w:p>
    <w:p w14:paraId="7E03E516" w14:textId="77777777" w:rsidR="00EB7486" w:rsidRDefault="00EB7486" w:rsidP="00EB7486">
      <w:pPr>
        <w:spacing w:after="120"/>
      </w:pPr>
      <w:r>
        <w:t>Wet AMD — also called neovascular or exudative macular degeneration — occurs when abnormal blood vessels grow through the defects in the pigment layer caused by underlying dry AMD. I often describe it as cracks in a sidewalk with weeds growing through. These abnormal blood vessels can leak fluid or bleed underneath the retina, causing a sudden and often dramatic change in vision: distortion, patchiness, or the sensation that straight lines are bent or crooked. That abrupt change is typically how wet AMD first presents.</w:t>
      </w:r>
    </w:p>
    <w:p w14:paraId="76787732" w14:textId="77777777" w:rsidR="00EB7486" w:rsidRDefault="00EB7486" w:rsidP="00EB7486">
      <w:pPr>
        <w:spacing w:after="120"/>
      </w:pPr>
      <w:r>
        <w:t>It’s important to know that dry AMD doesn’t always progress to wet. Only about 5% of people with dry AMD go on to develop the wet form. That said, because so many people have dry AMD, we do see wet AMD frequently.</w:t>
      </w:r>
    </w:p>
    <w:p w14:paraId="0681C343" w14:textId="77777777" w:rsidR="00EB7486" w:rsidRDefault="00EB7486" w:rsidP="00EB7486">
      <w:pPr>
        <w:spacing w:after="120"/>
      </w:pPr>
      <w:r>
        <w:rPr>
          <w:b/>
          <w:bCs/>
        </w:rPr>
        <w:t xml:space="preserve">Morgan Ineson: </w:t>
      </w:r>
      <w:r>
        <w:t xml:space="preserve">And </w:t>
      </w:r>
      <w:proofErr w:type="gramStart"/>
      <w:r>
        <w:t>someone can</w:t>
      </w:r>
      <w:proofErr w:type="gramEnd"/>
      <w:r>
        <w:t xml:space="preserve"> have both at the same time?</w:t>
      </w:r>
    </w:p>
    <w:p w14:paraId="3B2C8BD3" w14:textId="77777777" w:rsidR="00EB7486" w:rsidRDefault="00EB7486" w:rsidP="00EB7486">
      <w:pPr>
        <w:spacing w:after="120"/>
      </w:pPr>
      <w:r>
        <w:rPr>
          <w:b/>
          <w:bCs/>
        </w:rPr>
        <w:t xml:space="preserve">Dr. Daniel Warder: </w:t>
      </w:r>
      <w:r>
        <w:t xml:space="preserve">That’s right. If you have wet AMD, </w:t>
      </w:r>
      <w:proofErr w:type="gramStart"/>
      <w:r>
        <w:t>by definition you</w:t>
      </w:r>
      <w:proofErr w:type="gramEnd"/>
      <w:r>
        <w:t xml:space="preserve"> have underlying dry AMD as well — the wet form develops on top of the dry. When we treat wet AMD with injections, the best-case scenario is that the condition settles back to dry AMD. </w:t>
      </w:r>
      <w:proofErr w:type="gramStart"/>
      <w:r>
        <w:t>So</w:t>
      </w:r>
      <w:proofErr w:type="gramEnd"/>
      <w:r>
        <w:t xml:space="preserve"> it’s not really a case of wanting to trade one for the other — wet AMD typically causes more abrupt and severe vision loss, and the goal of treatment is simply to return to the dry state. It’s better not to develop wet AMD in the first place.</w:t>
      </w:r>
    </w:p>
    <w:p w14:paraId="36FCF71E" w14:textId="77777777" w:rsidR="00EB7486" w:rsidRDefault="00EB7486" w:rsidP="00EB7486">
      <w:pPr>
        <w:spacing w:after="80"/>
      </w:pPr>
    </w:p>
    <w:p w14:paraId="21A10F18" w14:textId="77777777" w:rsidR="00EB7486" w:rsidRDefault="00EB7486" w:rsidP="00EB7486">
      <w:pPr>
        <w:pStyle w:val="Heading2"/>
      </w:pPr>
      <w:r>
        <w:t>Geographic Atrophy</w:t>
      </w:r>
    </w:p>
    <w:p w14:paraId="3ACCD35A" w14:textId="77777777" w:rsidR="00EB7486" w:rsidRDefault="00EB7486" w:rsidP="00EB7486">
      <w:pPr>
        <w:spacing w:after="120"/>
      </w:pPr>
      <w:r>
        <w:rPr>
          <w:b/>
          <w:bCs/>
        </w:rPr>
        <w:t xml:space="preserve">Morgan Ineson: </w:t>
      </w:r>
      <w:r>
        <w:t>Within dry AMD, there is also an advanced form called geographic atrophy. Can you tell us a little about that?</w:t>
      </w:r>
    </w:p>
    <w:p w14:paraId="5ED4F00C" w14:textId="77777777" w:rsidR="00EB7486" w:rsidRDefault="00EB7486" w:rsidP="00EB7486">
      <w:pPr>
        <w:spacing w:after="120"/>
      </w:pPr>
      <w:r>
        <w:rPr>
          <w:b/>
          <w:bCs/>
        </w:rPr>
        <w:t xml:space="preserve">Dr. Daniel Warder: </w:t>
      </w:r>
      <w:r>
        <w:t xml:space="preserve">Yes. Within the broad category of dry AMD, there are various subtypes. The most visually significant is geographic atrophy, where the pigment layer and the photoreceptors within the retina are essentially gone in certain areas, leaving complete blind spots. These areas of atrophy typically begin outside the very </w:t>
      </w:r>
      <w:proofErr w:type="spellStart"/>
      <w:r>
        <w:t>centre</w:t>
      </w:r>
      <w:proofErr w:type="spellEnd"/>
      <w:r>
        <w:t xml:space="preserve"> of the macula, so people often don’t notice them at first. Over time they can slowly progress, and if they begin to encroach on the central vision, people notice quite suddenly — even though the underlying progression has been gradual. As clinicians, we say it’s a slow process, and it is, but once it begins affecting central vision, the impact can feel rapid and significant to the person experiencing it.</w:t>
      </w:r>
    </w:p>
    <w:p w14:paraId="2A09D9B9" w14:textId="77777777" w:rsidR="00EB7486" w:rsidRDefault="00EB7486" w:rsidP="00EB7486">
      <w:pPr>
        <w:spacing w:after="80"/>
      </w:pPr>
    </w:p>
    <w:p w14:paraId="56F24E1F" w14:textId="77777777" w:rsidR="00EB7486" w:rsidRDefault="00EB7486" w:rsidP="00EB7486">
      <w:pPr>
        <w:pStyle w:val="Heading2"/>
      </w:pPr>
      <w:r>
        <w:lastRenderedPageBreak/>
        <w:t>Current Treatments: Injections for Wet AMD and the Dry AMD Landscape</w:t>
      </w:r>
    </w:p>
    <w:p w14:paraId="28ABD2C8" w14:textId="77777777" w:rsidR="00EB7486" w:rsidRDefault="00EB7486" w:rsidP="00EB7486">
      <w:pPr>
        <w:spacing w:after="120"/>
      </w:pPr>
      <w:r>
        <w:rPr>
          <w:b/>
          <w:bCs/>
        </w:rPr>
        <w:t xml:space="preserve">Morgan Ineson: </w:t>
      </w:r>
      <w:r>
        <w:t>For wet AMD, there are treatments — the injections you mentioned. Could you say a bit about what that looks like? And on the dry side, I understand there are currently no approved treatments in Canada — can you touch on that too?</w:t>
      </w:r>
    </w:p>
    <w:p w14:paraId="62C1FC20" w14:textId="77777777" w:rsidR="00EB7486" w:rsidRDefault="00EB7486" w:rsidP="00EB7486">
      <w:pPr>
        <w:spacing w:after="120"/>
      </w:pPr>
      <w:r>
        <w:rPr>
          <w:b/>
          <w:bCs/>
        </w:rPr>
        <w:t xml:space="preserve">Dr. Daniel Warder: </w:t>
      </w:r>
      <w:r>
        <w:t xml:space="preserve">Absolutely. Injections for wet AMD have been around for about 25 years, since the early 2000s. Before they existed, a diagnosis of wet AMD was essentially a blinding sentence. They have been truly </w:t>
      </w:r>
      <w:proofErr w:type="gramStart"/>
      <w:r>
        <w:t>game-changing</w:t>
      </w:r>
      <w:proofErr w:type="gramEnd"/>
      <w:r>
        <w:t>.</w:t>
      </w:r>
    </w:p>
    <w:p w14:paraId="46F23DAD" w14:textId="77777777" w:rsidR="00EB7486" w:rsidRDefault="00EB7486" w:rsidP="00EB7486">
      <w:pPr>
        <w:spacing w:after="120"/>
      </w:pPr>
      <w:r>
        <w:t>The medications are called anti-VEGF agents — VEGF stands for vascular endothelial growth factor, which is a receptor expressed on the walls of these abnormal new blood vessels. The medications block that signal, causing the vessels to stop growing and shrink away, which reduces the fluid and bleeding in the retina. The key is catching it early, because the bleeding and swelling cause scar tissue. Treated early, the condition can often be nearly reversed and vision preserved very well. Treated late, there may be a significant scar left in the central vision.</w:t>
      </w:r>
    </w:p>
    <w:p w14:paraId="5634FED2" w14:textId="77777777" w:rsidR="00EB7486" w:rsidRDefault="00EB7486" w:rsidP="00EB7486">
      <w:pPr>
        <w:spacing w:after="120"/>
      </w:pPr>
      <w:r>
        <w:t>Injections are done in the office. Initially they are typically monthly. Once things stabilize, many patients can stretch the interval — some to every few months. However, for patients with an established network of abnormal vessels, the medicine wears off and the vessels tend to start leaking again, so ongoing treatment is often necessary to preserve vision. How often varies considerably from person to person.</w:t>
      </w:r>
    </w:p>
    <w:p w14:paraId="4A20AA7C" w14:textId="77777777" w:rsidR="00EB7486" w:rsidRDefault="00EB7486" w:rsidP="00EB7486">
      <w:pPr>
        <w:spacing w:after="120"/>
      </w:pPr>
      <w:r>
        <w:t>There are newer anti-VEGF agents that may last longer or offer somewhat improved efficacy for certain patients, and there are also treatments targeting additional pathways beyond VEGF. Gene therapy is also being investigated: rather than injecting the protein medication repeatedly, a viral vector is injected into the eye that is encoded to produce the anti-VEGF molecule continuously — essentially turning the eye into its own little pharmaceutical factory. These approaches are still in development and not yet available in Canada, but they represent some of the most exciting directions for reducing treatment burden.</w:t>
      </w:r>
    </w:p>
    <w:p w14:paraId="62393BF9" w14:textId="77777777" w:rsidR="00EB7486" w:rsidRDefault="00EB7486" w:rsidP="00EB7486">
      <w:pPr>
        <w:spacing w:after="120"/>
      </w:pPr>
      <w:r>
        <w:t xml:space="preserve">There are also surgically implantable reservoir devices, approved in the US, that hold a reservoir of medication inside the eye wall and can be refilled every six months or so at a </w:t>
      </w:r>
      <w:proofErr w:type="gramStart"/>
      <w:r>
        <w:t>clinic visit</w:t>
      </w:r>
      <w:proofErr w:type="gramEnd"/>
      <w:r>
        <w:t>. I’m not certain whether those are available in Canada yet.</w:t>
      </w:r>
    </w:p>
    <w:p w14:paraId="48BEB2FF" w14:textId="77777777" w:rsidR="00EB7486" w:rsidRDefault="00EB7486" w:rsidP="00EB7486">
      <w:pPr>
        <w:spacing w:after="120"/>
      </w:pPr>
      <w:r>
        <w:t xml:space="preserve">For dry AMD, the only treatment with robust scientific evidence is the AREDS2 vitamin formula. The AREDS trials — Age-Related Eye Disease Studies — showed over many years that this specific combination of antioxidants and vitamins slows progression of dry AMD and reduces the risk of </w:t>
      </w:r>
      <w:proofErr w:type="gramStart"/>
      <w:r>
        <w:t>advancing to</w:t>
      </w:r>
      <w:proofErr w:type="gramEnd"/>
      <w:r>
        <w:t xml:space="preserve"> geographic atrophy or wet AMD. I always tell patients: if it says AREDS2 on the label, that’s what has been studied. Many brands exist — what matters is that </w:t>
      </w:r>
      <w:proofErr w:type="gramStart"/>
      <w:r>
        <w:t>it contains</w:t>
      </w:r>
      <w:proofErr w:type="gramEnd"/>
      <w:r>
        <w:t xml:space="preserve"> that specific formulation.</w:t>
      </w:r>
    </w:p>
    <w:p w14:paraId="56E5BDEC" w14:textId="77777777" w:rsidR="00EB7486" w:rsidRDefault="00EB7486" w:rsidP="00EB7486">
      <w:pPr>
        <w:spacing w:after="120"/>
      </w:pPr>
      <w:r>
        <w:t xml:space="preserve">In the United States, there are now injections approved for geographic atrophy that have shown they can slow the growth of atrophic lesions by about 30%. They don’t reverse the </w:t>
      </w:r>
      <w:proofErr w:type="gramStart"/>
      <w:r>
        <w:lastRenderedPageBreak/>
        <w:t>damage, but</w:t>
      </w:r>
      <w:proofErr w:type="gramEnd"/>
      <w:r>
        <w:t xml:space="preserve"> slowing the progression so these lesions don’t reach the </w:t>
      </w:r>
      <w:proofErr w:type="spellStart"/>
      <w:r>
        <w:t>centre</w:t>
      </w:r>
      <w:proofErr w:type="spellEnd"/>
      <w:r>
        <w:t xml:space="preserve"> of vision would be meaningful. There are some risks — including a risk of converting to wet AMD — and they have not been approved in Canada yet. Health Canada is still reviewing them, and they were largely not approved in Europe either. We’re watching that closely.</w:t>
      </w:r>
    </w:p>
    <w:p w14:paraId="46B3E60B" w14:textId="77777777" w:rsidR="00EB7486" w:rsidRDefault="00EB7486" w:rsidP="00EB7486">
      <w:pPr>
        <w:spacing w:after="80"/>
      </w:pPr>
    </w:p>
    <w:p w14:paraId="7E8D0FA1" w14:textId="77777777" w:rsidR="00EB7486" w:rsidRDefault="00EB7486" w:rsidP="00EB7486">
      <w:pPr>
        <w:pStyle w:val="Heading2"/>
      </w:pPr>
      <w:r>
        <w:t>Q&amp;A: MacuMira and Microcurrent Stimulation</w:t>
      </w:r>
    </w:p>
    <w:p w14:paraId="049D9950" w14:textId="77777777" w:rsidR="00EB7486" w:rsidRDefault="00EB7486" w:rsidP="00EB7486">
      <w:pPr>
        <w:spacing w:after="120"/>
      </w:pPr>
      <w:r>
        <w:rPr>
          <w:b/>
          <w:bCs/>
        </w:rPr>
        <w:t xml:space="preserve">Audience member: </w:t>
      </w:r>
      <w:r>
        <w:t xml:space="preserve">I read about something called </w:t>
      </w:r>
      <w:proofErr w:type="spellStart"/>
      <w:r>
        <w:t>MacuMira</w:t>
      </w:r>
      <w:proofErr w:type="spellEnd"/>
      <w:r>
        <w:t xml:space="preserve"> being offered locally. Is it reputable, or should we be skeptical?</w:t>
      </w:r>
    </w:p>
    <w:p w14:paraId="2D0F556D" w14:textId="77777777" w:rsidR="00EB7486" w:rsidRDefault="00EB7486" w:rsidP="00EB7486">
      <w:pPr>
        <w:spacing w:after="120"/>
      </w:pPr>
      <w:r>
        <w:rPr>
          <w:b/>
          <w:bCs/>
        </w:rPr>
        <w:t xml:space="preserve">Dr. Daniel Warder: </w:t>
      </w:r>
      <w:r>
        <w:t xml:space="preserve">That’s a question I was anticipating — it comes up quite often. </w:t>
      </w:r>
      <w:proofErr w:type="spellStart"/>
      <w:r>
        <w:t>MacuMira</w:t>
      </w:r>
      <w:proofErr w:type="spellEnd"/>
      <w:r>
        <w:t xml:space="preserve"> is a device: a headset that applies electrodes to the eyelids and delivers a very low-level electrical current through the eyes. The claim is that this microcurrent stimulation can slow the progression of dry AMD and even regenerate the pigment layer to restore some vision. It’s non-invasive — no injections, no medications.</w:t>
      </w:r>
    </w:p>
    <w:p w14:paraId="404CF563" w14:textId="77777777" w:rsidR="00EB7486" w:rsidRDefault="00EB7486" w:rsidP="00EB7486">
      <w:pPr>
        <w:spacing w:after="120"/>
      </w:pPr>
      <w:r>
        <w:t>It did receive Health Canada approval as a device, but the standard of evidence required to approve a device is substantially lower than for a pharmaceutical. The study on which approval was based had approximately 40 patients, which is quite a small sample size, and the methodology has been criticized within the retinal community. Participants gained a few letters on the eye chart, but the rigor of the evidence is questionable.</w:t>
      </w:r>
    </w:p>
    <w:p w14:paraId="636EB90B" w14:textId="77777777" w:rsidR="00EB7486" w:rsidRDefault="00EB7486" w:rsidP="00EB7486">
      <w:pPr>
        <w:spacing w:after="120"/>
      </w:pPr>
      <w:r>
        <w:t xml:space="preserve">The Canadian Retina Society’s current position is that they are not recommending it, because the evidence for benefit is insufficient. That’s not the same as saying it doesn’t work — we simply don’t know yet. It’s unlikely to harm you. But it’s not covered by provincial health authorities or most reimbursement plans, so you’d be paying out of pocket. It’s being offered in some optometry and medical offices. My view is: </w:t>
      </w:r>
      <w:proofErr w:type="gramStart"/>
      <w:r>
        <w:t>buyer</w:t>
      </w:r>
      <w:proofErr w:type="gramEnd"/>
      <w:r>
        <w:t xml:space="preserve"> beware for now. Hopefully, as it’s used more widely, more robust studies will emerge to clarify whether there’s genuine benefit.</w:t>
      </w:r>
    </w:p>
    <w:p w14:paraId="29BDD249" w14:textId="77777777" w:rsidR="00EB7486" w:rsidRDefault="00EB7486" w:rsidP="00EB7486">
      <w:pPr>
        <w:spacing w:after="120"/>
      </w:pPr>
      <w:r>
        <w:rPr>
          <w:b/>
          <w:bCs/>
        </w:rPr>
        <w:t xml:space="preserve">Audience member: </w:t>
      </w:r>
      <w:r>
        <w:t>My understanding is that Health Canada approval was based on one small, poorly designed study, but that more studies are ongoing.</w:t>
      </w:r>
    </w:p>
    <w:p w14:paraId="7238F496" w14:textId="77777777" w:rsidR="00EB7486" w:rsidRDefault="00EB7486" w:rsidP="00EB7486">
      <w:pPr>
        <w:spacing w:after="120"/>
      </w:pPr>
      <w:r>
        <w:rPr>
          <w:b/>
          <w:bCs/>
        </w:rPr>
        <w:t xml:space="preserve">Dr. Daniel Warder: </w:t>
      </w:r>
      <w:r>
        <w:t xml:space="preserve">That’s correct. More offices offering it will hopefully lead to better data </w:t>
      </w:r>
      <w:proofErr w:type="gramStart"/>
      <w:r>
        <w:t>over time</w:t>
      </w:r>
      <w:proofErr w:type="gramEnd"/>
      <w:r>
        <w:t>. For now, the evidence base is not there.</w:t>
      </w:r>
    </w:p>
    <w:p w14:paraId="0E0C15EE" w14:textId="77777777" w:rsidR="00EB7486" w:rsidRDefault="00EB7486" w:rsidP="00EB7486">
      <w:pPr>
        <w:spacing w:after="80"/>
      </w:pPr>
    </w:p>
    <w:p w14:paraId="00B2139F" w14:textId="77777777" w:rsidR="00EB7486" w:rsidRDefault="00EB7486" w:rsidP="00EB7486">
      <w:pPr>
        <w:pStyle w:val="Heading2"/>
      </w:pPr>
      <w:r>
        <w:t>Q&amp;A: Red Light Therapy</w:t>
      </w:r>
    </w:p>
    <w:p w14:paraId="4AA76B2A" w14:textId="77777777" w:rsidR="00EB7486" w:rsidRDefault="00EB7486" w:rsidP="00EB7486">
      <w:pPr>
        <w:spacing w:after="120"/>
      </w:pPr>
      <w:r>
        <w:rPr>
          <w:b/>
          <w:bCs/>
        </w:rPr>
        <w:t xml:space="preserve">Dr. Daniel Warder: </w:t>
      </w:r>
      <w:r>
        <w:t xml:space="preserve">Red light therapy is similar in some respects to </w:t>
      </w:r>
      <w:proofErr w:type="spellStart"/>
      <w:r>
        <w:t>MacuMira</w:t>
      </w:r>
      <w:proofErr w:type="spellEnd"/>
      <w:r>
        <w:t xml:space="preserve"> — it’s being offered in optometry offices and unlikely to cause harm, but the evidence is very early and anecdotal. Some small studies show a few letters of vision gained. Like </w:t>
      </w:r>
      <w:proofErr w:type="spellStart"/>
      <w:r>
        <w:t>MacuMira</w:t>
      </w:r>
      <w:proofErr w:type="spellEnd"/>
      <w:r>
        <w:t xml:space="preserve">, it will require large, well-designed trials to establish whether there’s real benefit. What I would say is that visual acuity letters are not the only measure that matters. Contrast sensitivity — the ability to distinguish light from dark — is also significantly affected by macular </w:t>
      </w:r>
      <w:proofErr w:type="gramStart"/>
      <w:r>
        <w:t>degeneration, and</w:t>
      </w:r>
      <w:proofErr w:type="gramEnd"/>
      <w:r>
        <w:t xml:space="preserve"> is often </w:t>
      </w:r>
      <w:r>
        <w:lastRenderedPageBreak/>
        <w:t xml:space="preserve">what makes reading a newspaper so difficult (low contrast gray-on-gray). Some of these studies are looking at contrast sensitivity outcomes too, which is important. If contrast sensitivity improves without a change in visual acuity, that can still be meaningful for quality of life. </w:t>
      </w:r>
      <w:proofErr w:type="gramStart"/>
      <w:r>
        <w:t>So</w:t>
      </w:r>
      <w:proofErr w:type="gramEnd"/>
      <w:r>
        <w:t xml:space="preserve"> the field is evolving in how it measures benefit, not just letters on a chart.</w:t>
      </w:r>
    </w:p>
    <w:p w14:paraId="13C71123" w14:textId="77777777" w:rsidR="00EB7486" w:rsidRDefault="00EB7486" w:rsidP="00EB7486">
      <w:pPr>
        <w:spacing w:after="80"/>
      </w:pPr>
    </w:p>
    <w:p w14:paraId="56E939B7" w14:textId="77777777" w:rsidR="00EB7486" w:rsidRDefault="00EB7486" w:rsidP="00EB7486">
      <w:pPr>
        <w:pStyle w:val="Heading2"/>
      </w:pPr>
      <w:r>
        <w:t>Q&amp;A: Stem Cell Therapy</w:t>
      </w:r>
    </w:p>
    <w:p w14:paraId="4C57FEB1" w14:textId="77777777" w:rsidR="00EB7486" w:rsidRDefault="00EB7486" w:rsidP="00EB7486">
      <w:pPr>
        <w:spacing w:after="120"/>
      </w:pPr>
      <w:r>
        <w:rPr>
          <w:b/>
          <w:bCs/>
        </w:rPr>
        <w:t xml:space="preserve">Audience member: </w:t>
      </w:r>
      <w:r>
        <w:t>What about stem cell research for AMD?</w:t>
      </w:r>
    </w:p>
    <w:p w14:paraId="66D2A4A4" w14:textId="77777777" w:rsidR="00EB7486" w:rsidRDefault="00EB7486" w:rsidP="00EB7486">
      <w:pPr>
        <w:spacing w:after="120"/>
      </w:pPr>
      <w:r>
        <w:rPr>
          <w:b/>
          <w:bCs/>
        </w:rPr>
        <w:t xml:space="preserve">Dr. Daniel Warder: </w:t>
      </w:r>
      <w:r>
        <w:t xml:space="preserve">Stem cell therapy is really the holy grail for so many conditions — the idea of regenerating damaged tissue. For AMD, the goal would be to regenerate the atrophic pigment layer and photoreceptors. It’s still quite </w:t>
      </w:r>
      <w:proofErr w:type="gramStart"/>
      <w:r>
        <w:t>early-stage</w:t>
      </w:r>
      <w:proofErr w:type="gramEnd"/>
      <w:r>
        <w:t xml:space="preserve"> for specific retinal applications. There are clinics in some countries that offer what they describe as stem cell treatments for the eye, but these are not approved treatments.</w:t>
      </w:r>
    </w:p>
    <w:p w14:paraId="3A030756" w14:textId="77777777" w:rsidR="00EB7486" w:rsidRDefault="00EB7486" w:rsidP="00EB7486">
      <w:pPr>
        <w:spacing w:after="120"/>
      </w:pPr>
      <w:r>
        <w:rPr>
          <w:b/>
          <w:bCs/>
        </w:rPr>
        <w:t xml:space="preserve">Morgan Ineson: </w:t>
      </w:r>
      <w:r>
        <w:t xml:space="preserve">I want to add to that, because it’s something we get asked about a lot. What Dr. Warder is </w:t>
      </w:r>
      <w:proofErr w:type="gramStart"/>
      <w:r>
        <w:t>describing — clinics</w:t>
      </w:r>
      <w:proofErr w:type="gramEnd"/>
      <w:r>
        <w:t xml:space="preserve"> offering to inject cells into your eye, sometimes for large sums of money — is sometimes called stem cell tourism. These are not approved treatments in Canada or the US, and they can be genuinely dangerous. There have been cases of people losing vision </w:t>
      </w:r>
      <w:proofErr w:type="gramStart"/>
      <w:r>
        <w:t>as a result of</w:t>
      </w:r>
      <w:proofErr w:type="gramEnd"/>
      <w:r>
        <w:t xml:space="preserve"> these procedures. A very reliable red flag: if they are charging you money, it is not a legitimate clinical trial. Legitimate trials do not charge participants. There is a great deal of legitimate research happening, but it is still working through many complex hurdles — getting cells to stay where they’re needed, getting them to perform the right functions, recreating tissue that no longer exists. We are not close to having an approved stem cell treatment for AMD. If you want to understand what legitimate research is underway, our health information line can help you navigate that.</w:t>
      </w:r>
    </w:p>
    <w:p w14:paraId="213D4D54" w14:textId="77777777" w:rsidR="00EB7486" w:rsidRDefault="00EB7486" w:rsidP="00EB7486">
      <w:pPr>
        <w:spacing w:after="120"/>
      </w:pPr>
      <w:r>
        <w:rPr>
          <w:b/>
          <w:bCs/>
        </w:rPr>
        <w:t xml:space="preserve">Dr. Daniel Warder: </w:t>
      </w:r>
      <w:r>
        <w:t xml:space="preserve">Exactly </w:t>
      </w:r>
      <w:proofErr w:type="gramStart"/>
      <w:r>
        <w:t>— it’s</w:t>
      </w:r>
      <w:proofErr w:type="gramEnd"/>
      <w:r>
        <w:t xml:space="preserve"> such a complex area. You can inject stem cells, but then you need them to stay in place, activate correctly, and recreate functional tissue. Each of those steps is its own challenge. The research is real and progressing, but there are many layers to work through.</w:t>
      </w:r>
    </w:p>
    <w:p w14:paraId="47CC563F" w14:textId="77777777" w:rsidR="00EB7486" w:rsidRDefault="00EB7486" w:rsidP="00EB7486">
      <w:pPr>
        <w:spacing w:after="80"/>
      </w:pPr>
    </w:p>
    <w:p w14:paraId="05159AB6" w14:textId="77777777" w:rsidR="00EB7486" w:rsidRDefault="00EB7486" w:rsidP="00EB7486">
      <w:pPr>
        <w:pStyle w:val="Heading2"/>
      </w:pPr>
      <w:r>
        <w:t>Q&amp;A: Clinical Trials and Gene Therapy</w:t>
      </w:r>
    </w:p>
    <w:p w14:paraId="28DCFA35" w14:textId="77777777" w:rsidR="00EB7486" w:rsidRDefault="00EB7486" w:rsidP="00EB7486">
      <w:pPr>
        <w:spacing w:after="120"/>
      </w:pPr>
      <w:r>
        <w:rPr>
          <w:b/>
          <w:bCs/>
        </w:rPr>
        <w:t xml:space="preserve">Morgan Ineson: </w:t>
      </w:r>
      <w:r>
        <w:t>On the topic of treatments in development — for wet AMD specifically, it sounds like the focus is more on extending and improving existing treatments rather than discovering entirely new approaches?</w:t>
      </w:r>
    </w:p>
    <w:p w14:paraId="40777EAC" w14:textId="77777777" w:rsidR="00EB7486" w:rsidRDefault="00EB7486" w:rsidP="00EB7486">
      <w:pPr>
        <w:spacing w:after="120"/>
      </w:pPr>
      <w:r>
        <w:rPr>
          <w:b/>
          <w:bCs/>
        </w:rPr>
        <w:t xml:space="preserve">Dr. Daniel Warder: </w:t>
      </w:r>
      <w:r>
        <w:t xml:space="preserve">Yes. Wet AMD is in some ways easier to target than dry, because there’s a specific, identifiable biological event — abnormal blood vessel growth — that we can address. The VEGF pathway is well understood. The goal now is </w:t>
      </w:r>
      <w:proofErr w:type="gramStart"/>
      <w:r>
        <w:t>making</w:t>
      </w:r>
      <w:proofErr w:type="gramEnd"/>
      <w:r>
        <w:t xml:space="preserve"> treatments more durable and less burdensome. Twenty years ago, when anti-VEGF injections were first being used, many clinicians thought that in another 10 years we’d be down to one injection a year. Here we are, </w:t>
      </w:r>
      <w:r>
        <w:lastRenderedPageBreak/>
        <w:t>20 years later, and many patients are still on monthly injections. They’re very effective, but the treatment burden remains substantial. That’s where gene therapy is particularly exciting — encoding a viral vector to continuously produce the anti-VEGF molecule inside the eye, so the eye becomes its own source of the drug. It’s an elegant approach. These are still in development, but they’re among the most promising directions.</w:t>
      </w:r>
    </w:p>
    <w:p w14:paraId="434367E6" w14:textId="77777777" w:rsidR="00EB7486" w:rsidRDefault="00EB7486" w:rsidP="00EB7486">
      <w:pPr>
        <w:spacing w:after="120"/>
      </w:pPr>
      <w:r>
        <w:rPr>
          <w:b/>
          <w:bCs/>
        </w:rPr>
        <w:t xml:space="preserve">Morgan Ineson: </w:t>
      </w:r>
      <w:r>
        <w:t>It’s worth noting that gene therapy for a retinal condition has already been approved in Canada — Luxturna, for a form of inherited retinal dystrophy. Watching that go through the process was illuminating. Even after Health Canada approval, the drug had to go through provincial reimbursement processes, and the cost — which was very high — had to be negotiated to make it accessible. That’s the full journey a treatment takes before it reaches patients.</w:t>
      </w:r>
    </w:p>
    <w:p w14:paraId="0BF5AD1D" w14:textId="77777777" w:rsidR="00EB7486" w:rsidRDefault="00EB7486" w:rsidP="00EB7486">
      <w:pPr>
        <w:spacing w:after="80"/>
      </w:pPr>
    </w:p>
    <w:p w14:paraId="6AFEDABE" w14:textId="77777777" w:rsidR="00EB7486" w:rsidRDefault="00EB7486" w:rsidP="00EB7486">
      <w:pPr>
        <w:pStyle w:val="Heading2"/>
      </w:pPr>
      <w:r>
        <w:t>Q&amp;A: Differences Between Anti-VEGF Medications</w:t>
      </w:r>
    </w:p>
    <w:p w14:paraId="4E1AA77B" w14:textId="77777777" w:rsidR="00EB7486" w:rsidRDefault="00EB7486" w:rsidP="00EB7486">
      <w:pPr>
        <w:spacing w:after="120"/>
      </w:pPr>
      <w:r>
        <w:rPr>
          <w:b/>
          <w:bCs/>
        </w:rPr>
        <w:t xml:space="preserve">Audience member: </w:t>
      </w:r>
      <w:r>
        <w:t>Are there meaningful differences between the various anti-VEGF treatments? Would a patient respond differently to one versus another?</w:t>
      </w:r>
    </w:p>
    <w:p w14:paraId="6F97E848" w14:textId="77777777" w:rsidR="00EB7486" w:rsidRDefault="00EB7486" w:rsidP="00EB7486">
      <w:pPr>
        <w:spacing w:after="120"/>
      </w:pPr>
      <w:r>
        <w:rPr>
          <w:b/>
          <w:bCs/>
        </w:rPr>
        <w:t xml:space="preserve">Dr. Daniel Warder: </w:t>
      </w:r>
      <w:r>
        <w:t xml:space="preserve">Very good question. In British Columbia, MSP covers three anti-VEGF medications, and a couple of others are available but not covered provincially — some patients access those through third-party insurance. For </w:t>
      </w:r>
      <w:proofErr w:type="gramStart"/>
      <w:r>
        <w:t>the vast majority of</w:t>
      </w:r>
      <w:proofErr w:type="gramEnd"/>
      <w:r>
        <w:t xml:space="preserve"> patients — probably 80 to 90% — the covered medications work quite well, and they perform similarly. However, there is a subset of patients who don’t respond optimally to one agent and do better on another. Sometimes it takes some trial and error to find the right fit.</w:t>
      </w:r>
    </w:p>
    <w:p w14:paraId="31B700C0" w14:textId="77777777" w:rsidR="00EB7486" w:rsidRDefault="00EB7486" w:rsidP="00EB7486">
      <w:pPr>
        <w:spacing w:after="120"/>
      </w:pPr>
      <w:r>
        <w:t xml:space="preserve">The newer agents — such as Eylea HD (high-dose aflibercept) and </w:t>
      </w:r>
      <w:proofErr w:type="spellStart"/>
      <w:r>
        <w:t>Vabysmo</w:t>
      </w:r>
      <w:proofErr w:type="spellEnd"/>
      <w:r>
        <w:t xml:space="preserve"> — are designed to last longer between injections. In the clinical trials, results were impressive. In real-world practice, I find it’s more variable. Some patients on the newer agents do achieve longer intervals, but many still need injections every month or every six to eight weeks. That said, some of the newer agents do seem somewhat more effective at resolving retinal fluid. If a patient is a poor responder to the first-line agent, switching to a different molecule sometimes helps.</w:t>
      </w:r>
    </w:p>
    <w:p w14:paraId="54A4A37C" w14:textId="77777777" w:rsidR="00EB7486" w:rsidRDefault="00EB7486" w:rsidP="00EB7486">
      <w:pPr>
        <w:spacing w:after="120"/>
      </w:pPr>
      <w:r>
        <w:rPr>
          <w:b/>
          <w:bCs/>
        </w:rPr>
        <w:t xml:space="preserve">Audience member: </w:t>
      </w:r>
      <w:r>
        <w:t>What about biosimilars?</w:t>
      </w:r>
    </w:p>
    <w:p w14:paraId="4B20AECD" w14:textId="77777777" w:rsidR="00EB7486" w:rsidRDefault="00EB7486" w:rsidP="00EB7486">
      <w:pPr>
        <w:spacing w:after="120"/>
      </w:pPr>
      <w:r>
        <w:rPr>
          <w:b/>
          <w:bCs/>
        </w:rPr>
        <w:t xml:space="preserve">Dr. Daniel Warder: </w:t>
      </w:r>
      <w:r>
        <w:t>Not yet in widespread use in BC, but that’s being looked at closely. Biosimilars are essentially off-patent versions of branded medications — the same molecule, potentially at lower cost. As fiscal pressures increase, this is an area governments and retina specialists are actively examining together.</w:t>
      </w:r>
    </w:p>
    <w:p w14:paraId="3FDED7BF" w14:textId="77777777" w:rsidR="00EB7486" w:rsidRDefault="00EB7486" w:rsidP="00EB7486">
      <w:pPr>
        <w:spacing w:after="80"/>
      </w:pPr>
    </w:p>
    <w:p w14:paraId="63079C17" w14:textId="77777777" w:rsidR="00EB7486" w:rsidRDefault="00EB7486" w:rsidP="00EB7486">
      <w:pPr>
        <w:pStyle w:val="Heading2"/>
      </w:pPr>
      <w:r>
        <w:lastRenderedPageBreak/>
        <w:t>Q&amp;A: Why Some Patients Respond Differently</w:t>
      </w:r>
    </w:p>
    <w:p w14:paraId="35FC192A" w14:textId="77777777" w:rsidR="00EB7486" w:rsidRDefault="00EB7486" w:rsidP="00EB7486">
      <w:pPr>
        <w:spacing w:after="120"/>
      </w:pPr>
      <w:r>
        <w:rPr>
          <w:b/>
          <w:bCs/>
        </w:rPr>
        <w:t xml:space="preserve">Audience member: </w:t>
      </w:r>
      <w:r>
        <w:t xml:space="preserve">Is it understood why some people have more active wet AMD and need more frequent injections, while others seem to respond so </w:t>
      </w:r>
      <w:proofErr w:type="gramStart"/>
      <w:r>
        <w:t>well</w:t>
      </w:r>
      <w:proofErr w:type="gramEnd"/>
      <w:r>
        <w:t xml:space="preserve"> they can go months between treatments?</w:t>
      </w:r>
    </w:p>
    <w:p w14:paraId="235E2EEF" w14:textId="77777777" w:rsidR="00EB7486" w:rsidRDefault="00EB7486" w:rsidP="00EB7486">
      <w:pPr>
        <w:spacing w:after="120"/>
      </w:pPr>
      <w:r>
        <w:rPr>
          <w:b/>
          <w:bCs/>
        </w:rPr>
        <w:t xml:space="preserve">Dr. Daniel Warder: </w:t>
      </w:r>
      <w:r>
        <w:t xml:space="preserve">Great question. We don’t fully understand it. These biological processes are multifaceted — there are other receptors and pathways involved beyond VEGF, and individual variation is significant. What we do know is that how established the abnormal blood vessel network is at diagnosis plays a major role. If wet AMD is caught very early — just a few wispy vessels </w:t>
      </w:r>
      <w:proofErr w:type="gramStart"/>
      <w:r>
        <w:t>beginning</w:t>
      </w:r>
      <w:proofErr w:type="gramEnd"/>
      <w:r>
        <w:t xml:space="preserve"> to leak — and treatment starts immediately, patients tend to do much better and often achieve longer intervals between injections. That’s the strongest argument for regular monitoring if you have dry AMD: using an Amsler grid </w:t>
      </w:r>
      <w:proofErr w:type="gramStart"/>
      <w:r>
        <w:t>periodically, and</w:t>
      </w:r>
      <w:proofErr w:type="gramEnd"/>
      <w:r>
        <w:t xml:space="preserve"> not waiting if you notice distortion. Get to your optometrist or ophthalmologist promptly.</w:t>
      </w:r>
    </w:p>
    <w:p w14:paraId="6F3B5605" w14:textId="77777777" w:rsidR="00EB7486" w:rsidRDefault="00EB7486" w:rsidP="00EB7486">
      <w:pPr>
        <w:spacing w:after="120"/>
      </w:pPr>
      <w:r>
        <w:t xml:space="preserve">In terms of things patients can do themselves: you can’t influence whether the existing vessels respond to medication, but modifiable risk factors for AMD progression are worth managing. The biggest is smoking — if you smoke, stopping is the most impactful thing you can do. A Mediterranean-style diet rich in </w:t>
      </w:r>
      <w:proofErr w:type="spellStart"/>
      <w:r>
        <w:t>colourful</w:t>
      </w:r>
      <w:proofErr w:type="spellEnd"/>
      <w:r>
        <w:t xml:space="preserve"> vegetables and leafy greens, low in saturated fat and high-glycemic carbohydrates, has been shown in multiple studies to reduce the risk of AMD worsening. Maintaining healthy blood pressure and cholesterol is also beneficial. Sun protection — good-quality sunglasses that block UV — is also thought to be protective, though harder to study rigorously.</w:t>
      </w:r>
    </w:p>
    <w:p w14:paraId="525FFDCB" w14:textId="77777777" w:rsidR="00EB7486" w:rsidRDefault="00EB7486" w:rsidP="00EB7486">
      <w:pPr>
        <w:spacing w:after="80"/>
      </w:pPr>
    </w:p>
    <w:p w14:paraId="479837E0" w14:textId="77777777" w:rsidR="00EB7486" w:rsidRDefault="00EB7486" w:rsidP="00EB7486">
      <w:pPr>
        <w:pStyle w:val="Heading2"/>
      </w:pPr>
      <w:r>
        <w:t>Q&amp;A: AREDS2 Vitamins — Who Should Take Them?</w:t>
      </w:r>
    </w:p>
    <w:p w14:paraId="35A47221" w14:textId="77777777" w:rsidR="00EB7486" w:rsidRDefault="00EB7486" w:rsidP="00EB7486">
      <w:pPr>
        <w:spacing w:after="120"/>
      </w:pPr>
      <w:r>
        <w:rPr>
          <w:b/>
          <w:bCs/>
        </w:rPr>
        <w:t xml:space="preserve">Morgan Ineson: </w:t>
      </w:r>
      <w:r>
        <w:t>A question I often get: if someone’s parent had AMD but they don’t have any symptoms themselves, should they be taking AREDS2 vitamins as a preventative measure?</w:t>
      </w:r>
    </w:p>
    <w:p w14:paraId="00BB2918" w14:textId="77777777" w:rsidR="00EB7486" w:rsidRDefault="00EB7486" w:rsidP="00EB7486">
      <w:pPr>
        <w:spacing w:after="120"/>
      </w:pPr>
      <w:r>
        <w:rPr>
          <w:b/>
          <w:bCs/>
        </w:rPr>
        <w:t xml:space="preserve">Dr. Daniel Warder: </w:t>
      </w:r>
      <w:r>
        <w:t>It’s a very common question. Based on the evidence, the answer is no — the AREDS studies showed no benefit from taking the vitamins in people with no AMD or only mild AMD. The protective effect was seen in people with intermediate or advanced dry AMD. That said, those studies ran for five to ten years, and it’s possible that over 20 years a benefit might emerge. The vitamins themselves won’t hurt you, but they are expensive if taken long-term. My advice for people without AMD or with only mild AMD is that a well-balanced diet rich in vegetables will provide much the same nutrients. Save the expense for when there’s evidence it’s needed.</w:t>
      </w:r>
    </w:p>
    <w:p w14:paraId="27242DAD" w14:textId="77777777" w:rsidR="00EB7486" w:rsidRDefault="00EB7486" w:rsidP="00EB7486">
      <w:pPr>
        <w:spacing w:after="120"/>
      </w:pPr>
      <w:r>
        <w:t xml:space="preserve">When patients do take AREDS2 vitamins, the key thing is to look for the AREDS2 designation on the label. Many eye vitamin products exist with all sorts of added ingredients — blueberry extract and so on — but what matters is the specific formulation and dosage studied in the trial. </w:t>
      </w:r>
      <w:proofErr w:type="gramStart"/>
      <w:r>
        <w:t>As long as</w:t>
      </w:r>
      <w:proofErr w:type="gramEnd"/>
      <w:r>
        <w:t xml:space="preserve"> it says AREDS2 and contains that combination, any brand is fine.</w:t>
      </w:r>
    </w:p>
    <w:p w14:paraId="31F902EB" w14:textId="77777777" w:rsidR="00EB7486" w:rsidRDefault="00EB7486" w:rsidP="00EB7486">
      <w:pPr>
        <w:spacing w:after="80"/>
      </w:pPr>
    </w:p>
    <w:p w14:paraId="38F1B1C6" w14:textId="77777777" w:rsidR="00EB7486" w:rsidRDefault="00EB7486" w:rsidP="00EB7486">
      <w:pPr>
        <w:pStyle w:val="Heading2"/>
      </w:pPr>
      <w:r>
        <w:lastRenderedPageBreak/>
        <w:t>Q&amp;A: Genetic and Ancestral Risk Factors</w:t>
      </w:r>
    </w:p>
    <w:p w14:paraId="2B3DC432" w14:textId="77777777" w:rsidR="00EB7486" w:rsidRDefault="00EB7486" w:rsidP="00EB7486">
      <w:pPr>
        <w:spacing w:after="120"/>
      </w:pPr>
      <w:r>
        <w:rPr>
          <w:b/>
          <w:bCs/>
        </w:rPr>
        <w:t xml:space="preserve">Audience member: </w:t>
      </w:r>
      <w:r>
        <w:t>Are people from certain ancestral backgrounds at higher risk for AMD?</w:t>
      </w:r>
    </w:p>
    <w:p w14:paraId="7B9C8A6D" w14:textId="77777777" w:rsidR="00EB7486" w:rsidRDefault="00EB7486" w:rsidP="00EB7486">
      <w:pPr>
        <w:spacing w:after="120"/>
      </w:pPr>
      <w:r>
        <w:rPr>
          <w:b/>
          <w:bCs/>
        </w:rPr>
        <w:t xml:space="preserve">Dr. Daniel Warder: </w:t>
      </w:r>
      <w:r>
        <w:t>Yes, Northern European ancestry is associated with higher rates of AMD, and it’s well represented in the populations we see. That said, AMD occurs across all backgrounds and ethnicities. Some subtypes of wet AMD are seen more frequently in people of African or Asian descent. But broadly speaking, AMD is a condition we see in people of all descents — Northern European ancestry is just particularly well represented.</w:t>
      </w:r>
    </w:p>
    <w:p w14:paraId="3F7776C0" w14:textId="77777777" w:rsidR="00EB7486" w:rsidRDefault="00EB7486" w:rsidP="00EB7486">
      <w:pPr>
        <w:spacing w:after="80"/>
      </w:pPr>
    </w:p>
    <w:p w14:paraId="65138707" w14:textId="77777777" w:rsidR="00EB7486" w:rsidRDefault="00EB7486" w:rsidP="00EB7486">
      <w:pPr>
        <w:pStyle w:val="Heading1"/>
      </w:pPr>
      <w:r>
        <w:t>Part Two: Lived Experience</w:t>
      </w:r>
    </w:p>
    <w:p w14:paraId="39300B3C" w14:textId="77777777" w:rsidR="00EB7486" w:rsidRDefault="00EB7486" w:rsidP="00EB7486">
      <w:pPr>
        <w:pStyle w:val="Heading2"/>
      </w:pPr>
      <w:r>
        <w:t>Introductions</w:t>
      </w:r>
    </w:p>
    <w:p w14:paraId="032BC1A9"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Our next guests are Jessica Thomson, a retired registered nurse now living in North Saanich, and Donna McLachlan, a retired licensed practical nurse and former co-founder of a commercial photography business, both living with AMD. Jessica, we’ll start with you — can you share a bit about your experience when you were first diagnosed?</w:t>
      </w:r>
    </w:p>
    <w:p w14:paraId="40B12119" w14:textId="77777777" w:rsidR="00EB7486" w:rsidRDefault="00EB7486" w:rsidP="00EB7486">
      <w:pPr>
        <w:spacing w:after="120"/>
      </w:pPr>
      <w:r>
        <w:rPr>
          <w:b/>
          <w:bCs/>
        </w:rPr>
        <w:t xml:space="preserve">Jessica Thomson: </w:t>
      </w:r>
      <w:r>
        <w:t>It was probably the fall of 2020 when I first noticed something was off — I couldn’t quite put my finger on it, but my vision, which had always been excellent, just didn’t seem right. I went to an optometrist, who told me I had something called vitelliform macular degeneration — a subset of macular degeneration that is highly inherited. I believe my mother had the same thing, undiagnosed. I eventually saw another optometrist, who referred me to an ophthalmologist who confirmed the diagnosis.</w:t>
      </w:r>
    </w:p>
    <w:p w14:paraId="664F9878" w14:textId="77777777" w:rsidR="00EB7486" w:rsidRDefault="00EB7486" w:rsidP="00EB7486">
      <w:pPr>
        <w:spacing w:after="120"/>
      </w:pPr>
      <w:r>
        <w:t xml:space="preserve">After about a year of monitoring, my ophthalmologist recommended I have my cataracts addressed sooner rather than later, since the integrity of my eye wouldn’t improve as the disease progressed. I had cataract surgery in May 2021, and about six weeks later I noticed significant changes in my left eye — distortion, straight lines with a divot in them, distance problems. I assumed it might be related to the surgery, but after several attempts to get back in to see my doctor, I was told it was wet AMD in my left eye. I started injections in that eye, and about a year later my right eye also </w:t>
      </w:r>
      <w:proofErr w:type="gramStart"/>
      <w:r>
        <w:t>developed</w:t>
      </w:r>
      <w:proofErr w:type="gramEnd"/>
      <w:r>
        <w:t xml:space="preserve"> wet AMD.</w:t>
      </w:r>
    </w:p>
    <w:p w14:paraId="16992304" w14:textId="77777777" w:rsidR="00EB7486" w:rsidRDefault="00EB7486" w:rsidP="00EB7486">
      <w:pPr>
        <w:spacing w:after="120"/>
      </w:pPr>
      <w:r>
        <w:t>I’ve tried several different medications and have never been able to go more than seven weeks between injections without signs of activity. Moving from Alberta to BC also brought its own challenges — the drug I was on in Alberta isn’t covered in BC, so I’ve had to switch, with mixed results. I’m currently working through a new drug regimen and hoping for a better outcome.</w:t>
      </w:r>
    </w:p>
    <w:p w14:paraId="0BE107C1" w14:textId="77777777" w:rsidR="00EB7486" w:rsidRDefault="00EB7486" w:rsidP="00EB7486">
      <w:pPr>
        <w:spacing w:after="120"/>
      </w:pPr>
      <w:r>
        <w:rPr>
          <w:b/>
          <w:bCs/>
        </w:rPr>
        <w:t xml:space="preserve">Donna McLachlan: </w:t>
      </w:r>
      <w:r>
        <w:t xml:space="preserve">Macular degeneration runs on my mother’s side of the family. Out of nine siblings, five developed wet AMD, including my mother. When she was diagnosed, there were no injections available, and she lost her vision. </w:t>
      </w:r>
      <w:proofErr w:type="gramStart"/>
      <w:r>
        <w:t>So</w:t>
      </w:r>
      <w:proofErr w:type="gramEnd"/>
      <w:r>
        <w:t xml:space="preserve"> I knew what wet AMD was, and when I suddenly noticed something wrong with my vision ten years ago, I acted quickly. Because of my </w:t>
      </w:r>
      <w:r>
        <w:lastRenderedPageBreak/>
        <w:t>family history, I had a sense of what it might be, and I went straight to the doctor. They caught it early, which I believe was a real advantage.</w:t>
      </w:r>
    </w:p>
    <w:p w14:paraId="52F32C89" w14:textId="77777777" w:rsidR="00EB7486" w:rsidRDefault="00EB7486" w:rsidP="00EB7486">
      <w:pPr>
        <w:spacing w:after="120"/>
      </w:pPr>
      <w:r>
        <w:t xml:space="preserve">It started in my left eye, and five years later developed in my right eye as well. Initially I was on monthly injections, but when I moved back to Ontario, my doctor was able to progressively extend my intervals — eventually up to 14 weeks, which I was surprised and relieved by. That was with Eylea. Just recently, Ontario has moved to a generic version of Eylea, so I’m now </w:t>
      </w:r>
      <w:proofErr w:type="spellStart"/>
      <w:proofErr w:type="gramStart"/>
      <w:r>
        <w:t>trialling</w:t>
      </w:r>
      <w:proofErr w:type="spellEnd"/>
      <w:proofErr w:type="gramEnd"/>
      <w:r>
        <w:t xml:space="preserve"> that in one eye. I’m hopeful I’ll still be able to maintain those extended intervals.</w:t>
      </w:r>
    </w:p>
    <w:p w14:paraId="5600712A" w14:textId="77777777" w:rsidR="00EB7486" w:rsidRDefault="00EB7486" w:rsidP="00EB7486">
      <w:pPr>
        <w:spacing w:after="120"/>
      </w:pPr>
      <w:r>
        <w:t>I’m very lucky to have a supportive husband, and I’m grateful to Fighting Blindness Canada — the webinars and resources have been a great source of information and have helped me stay connected to what’s happening in research.</w:t>
      </w:r>
    </w:p>
    <w:p w14:paraId="6A023996" w14:textId="77777777" w:rsidR="00EB7486" w:rsidRDefault="00EB7486" w:rsidP="00EB7486">
      <w:pPr>
        <w:spacing w:after="80"/>
      </w:pPr>
    </w:p>
    <w:p w14:paraId="72682DD2" w14:textId="77777777" w:rsidR="00EB7486" w:rsidRDefault="00EB7486" w:rsidP="00EB7486">
      <w:pPr>
        <w:pStyle w:val="Heading2"/>
      </w:pPr>
      <w:r>
        <w:t>Emotions and Adapting to Diagnosis</w:t>
      </w:r>
    </w:p>
    <w:p w14:paraId="21B2B492"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How did you each feel when you first received your diagnosis? Was it difficult to accept, or did you adapt relatively quickly?</w:t>
      </w:r>
    </w:p>
    <w:p w14:paraId="5FC61270" w14:textId="77777777" w:rsidR="00EB7486" w:rsidRDefault="00EB7486" w:rsidP="00EB7486">
      <w:pPr>
        <w:spacing w:after="120"/>
      </w:pPr>
      <w:r>
        <w:rPr>
          <w:b/>
          <w:bCs/>
        </w:rPr>
        <w:t xml:space="preserve">Donna McLachlan: </w:t>
      </w:r>
      <w:r>
        <w:t>It was a shock. You always think it won’t happen to you, even when it runs in your family. In the beginning it was very stressful — worrying about what injections would be like, knowing your life would revolve around appointments. I had a wonderful doctor who was very supportive, and that helped enormously. When it moved to my other eye, that was another difficult moment. Even now, it’s always in the back of your mind. After each injection, you move on, but the awareness never really goes away. That said, there’s nothing to do but accept it and keep going.</w:t>
      </w:r>
    </w:p>
    <w:p w14:paraId="4CBE44E1" w14:textId="77777777" w:rsidR="00EB7486" w:rsidRDefault="00EB7486" w:rsidP="00EB7486">
      <w:pPr>
        <w:spacing w:after="120"/>
      </w:pPr>
      <w:r>
        <w:rPr>
          <w:b/>
          <w:bCs/>
        </w:rPr>
        <w:t xml:space="preserve">Jessica Thomson: </w:t>
      </w:r>
      <w:r>
        <w:t xml:space="preserve">For me, the initial period before I developed wet AMD, I spent a lot of time researching. My husband is a scientist, so we dove deeply into </w:t>
      </w:r>
      <w:proofErr w:type="gramStart"/>
      <w:r>
        <w:t>the literature</w:t>
      </w:r>
      <w:proofErr w:type="gramEnd"/>
      <w:r>
        <w:t xml:space="preserve"> together, and finding so much active research going on was </w:t>
      </w:r>
      <w:proofErr w:type="gramStart"/>
      <w:r>
        <w:t>actually comforting</w:t>
      </w:r>
      <w:proofErr w:type="gramEnd"/>
      <w:r>
        <w:t>. Stumbling across Fighting Blindness Canada was a real help — the webinars have been very valuable.</w:t>
      </w:r>
    </w:p>
    <w:p w14:paraId="3A653EAF" w14:textId="77777777" w:rsidR="00EB7486" w:rsidRDefault="00EB7486" w:rsidP="00EB7486">
      <w:pPr>
        <w:spacing w:after="120"/>
      </w:pPr>
      <w:r>
        <w:t xml:space="preserve">Emotionally, most days I manage well. I tell people I have trouble seeing, and they look at me as though I can’t possibly have a </w:t>
      </w:r>
      <w:proofErr w:type="gramStart"/>
      <w:r>
        <w:t>problem —</w:t>
      </w:r>
      <w:proofErr w:type="gramEnd"/>
      <w:r>
        <w:t xml:space="preserve"> I don’t have a cane, I get around fine. But there are moments, like when I’m changing guitar strings and I can see </w:t>
      </w:r>
      <w:proofErr w:type="gramStart"/>
      <w:r>
        <w:t>it</w:t>
      </w:r>
      <w:proofErr w:type="gramEnd"/>
      <w:r>
        <w:t xml:space="preserve"> but can’t quite see </w:t>
      </w:r>
      <w:proofErr w:type="gramStart"/>
      <w:r>
        <w:t>it</w:t>
      </w:r>
      <w:proofErr w:type="gramEnd"/>
      <w:r>
        <w:t>, that are genuinely frustrating. On those days, it’s harder. But on a day-to-day basis, I try to focus on what I can still see rather than what I can’t. I’m not always successful, but that’s how I try to get through it.</w:t>
      </w:r>
    </w:p>
    <w:p w14:paraId="59229C56" w14:textId="77777777" w:rsidR="00EB7486" w:rsidRDefault="00EB7486" w:rsidP="00EB7486">
      <w:pPr>
        <w:spacing w:after="80"/>
      </w:pPr>
    </w:p>
    <w:p w14:paraId="1FD46423" w14:textId="77777777" w:rsidR="00EB7486" w:rsidRDefault="00EB7486" w:rsidP="00EB7486">
      <w:pPr>
        <w:pStyle w:val="Heading2"/>
      </w:pPr>
      <w:r>
        <w:t>Tools, Technology, and Adaptations</w:t>
      </w:r>
    </w:p>
    <w:p w14:paraId="321264D6"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Are there any tools, technologies, or adaptations that have made a meaningful difference in your daily life?</w:t>
      </w:r>
    </w:p>
    <w:p w14:paraId="06B34295" w14:textId="77777777" w:rsidR="00EB7486" w:rsidRDefault="00EB7486" w:rsidP="00EB7486">
      <w:pPr>
        <w:spacing w:after="120"/>
      </w:pPr>
      <w:r>
        <w:rPr>
          <w:b/>
          <w:bCs/>
        </w:rPr>
        <w:lastRenderedPageBreak/>
        <w:t xml:space="preserve">Donna McLachlan: </w:t>
      </w:r>
      <w:r>
        <w:t>I quilt, which involves a lot of fine detail, and that is increasingly frustrating. But I’m not yet at the point of needing assistive aids. My mother, as her AMD progressed, relied on magnifying glasses and audiobooks, and those helped her a great deal — she loved to read. I know those options are there if I need them.</w:t>
      </w:r>
    </w:p>
    <w:p w14:paraId="260E03A1" w14:textId="77777777" w:rsidR="00EB7486" w:rsidRDefault="00EB7486" w:rsidP="00EB7486">
      <w:pPr>
        <w:spacing w:after="120"/>
      </w:pPr>
      <w:r>
        <w:rPr>
          <w:b/>
          <w:bCs/>
        </w:rPr>
        <w:t xml:space="preserve">Jessica Thomson: </w:t>
      </w:r>
      <w:r>
        <w:t xml:space="preserve">I use magnification occasionally. Reading is still possible, but the distortion in my left eye means the lines can seem to overlap, and I </w:t>
      </w:r>
      <w:proofErr w:type="gramStart"/>
      <w:r>
        <w:t>have to</w:t>
      </w:r>
      <w:proofErr w:type="gramEnd"/>
      <w:r>
        <w:t xml:space="preserve"> make a conscious effort with how I look at the page. It’s more effortful. I also have a lot of visual spots, and interestingly, in lower light some of that </w:t>
      </w:r>
      <w:proofErr w:type="gramStart"/>
      <w:r>
        <w:t>actually diminishes</w:t>
      </w:r>
      <w:proofErr w:type="gramEnd"/>
      <w:r>
        <w:t xml:space="preserve"> — which is counterintuitive, but it’s my experience.</w:t>
      </w:r>
    </w:p>
    <w:p w14:paraId="02AE057E" w14:textId="77777777" w:rsidR="00EB7486" w:rsidRDefault="00EB7486" w:rsidP="00EB7486">
      <w:pPr>
        <w:spacing w:after="120"/>
      </w:pPr>
      <w:r>
        <w:rPr>
          <w:b/>
          <w:bCs/>
        </w:rPr>
        <w:t xml:space="preserve">Audience member: </w:t>
      </w:r>
      <w:r>
        <w:t>I’m a voracious reader, so this has affected me significantly. Tablets have been a real breakthrough — being able to increase font size and contrast has made an enormous difference. And I had an ‘aha’ moment when Dr. Warder mentioned contrast sensitivity. I thought my reading difficulty was purely about letter size, but the contrast issue explains so much.</w:t>
      </w:r>
    </w:p>
    <w:p w14:paraId="6915699E" w14:textId="77777777" w:rsidR="00EB7486" w:rsidRDefault="00EB7486" w:rsidP="00EB7486">
      <w:pPr>
        <w:spacing w:after="80"/>
      </w:pPr>
    </w:p>
    <w:p w14:paraId="7581D11A" w14:textId="77777777" w:rsidR="00EB7486" w:rsidRDefault="00EB7486" w:rsidP="00EB7486">
      <w:pPr>
        <w:pStyle w:val="Heading2"/>
      </w:pPr>
      <w:r>
        <w:t>The Role of Family, Friends, and Community</w:t>
      </w:r>
    </w:p>
    <w:p w14:paraId="103FC936"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Can you speak to the role of family, friends, and community in helping you manage?</w:t>
      </w:r>
    </w:p>
    <w:p w14:paraId="7A16CC58" w14:textId="77777777" w:rsidR="00EB7486" w:rsidRDefault="00EB7486" w:rsidP="00EB7486">
      <w:pPr>
        <w:spacing w:after="120"/>
      </w:pPr>
      <w:r>
        <w:rPr>
          <w:b/>
          <w:bCs/>
        </w:rPr>
        <w:t xml:space="preserve">Donna McLachlan: </w:t>
      </w:r>
      <w:r>
        <w:t xml:space="preserve">When I </w:t>
      </w:r>
      <w:proofErr w:type="gramStart"/>
      <w:r>
        <w:t>was caring</w:t>
      </w:r>
      <w:proofErr w:type="gramEnd"/>
      <w:r>
        <w:t xml:space="preserve"> for my mother in Victoria, I used to take her to a community support group — I believe it was through Saanich Volunteer Services, and it still exists. My mother found it very helpful, and I learned a great deal from it. Then when I developed wet AMD myself, I understood the value of that kind of community support. Knowing you’re not alone </w:t>
      </w:r>
      <w:proofErr w:type="gramStart"/>
      <w:r>
        <w:t>makes</w:t>
      </w:r>
      <w:proofErr w:type="gramEnd"/>
      <w:r>
        <w:t xml:space="preserve"> such a difference. Even in a room like this, you can feel that.</w:t>
      </w:r>
    </w:p>
    <w:p w14:paraId="57AA40DB" w14:textId="77777777" w:rsidR="00EB7486" w:rsidRDefault="00EB7486" w:rsidP="00EB7486">
      <w:pPr>
        <w:spacing w:after="120"/>
      </w:pPr>
      <w:r>
        <w:rPr>
          <w:b/>
          <w:bCs/>
        </w:rPr>
        <w:t xml:space="preserve">Jessica Thomson: </w:t>
      </w:r>
      <w:r>
        <w:t xml:space="preserve">Having someone to talk to matters enormously, even if they don’t fully understand what you’re experiencing — just someone willing to </w:t>
      </w:r>
      <w:proofErr w:type="gramStart"/>
      <w:r>
        <w:t>listen</w:t>
      </w:r>
      <w:proofErr w:type="gramEnd"/>
      <w:r>
        <w:t xml:space="preserve">. My husband has been incredibly supportive. We traveled in a travel trailer for 16 months, and during that time </w:t>
      </w:r>
      <w:proofErr w:type="gramStart"/>
      <w:r>
        <w:t>I was</w:t>
      </w:r>
      <w:proofErr w:type="gramEnd"/>
      <w:r>
        <w:t xml:space="preserve"> still </w:t>
      </w:r>
      <w:proofErr w:type="gramStart"/>
      <w:r>
        <w:t>needing</w:t>
      </w:r>
      <w:proofErr w:type="gramEnd"/>
      <w:r>
        <w:t xml:space="preserve"> injections every four to seven weeks. I used </w:t>
      </w:r>
      <w:proofErr w:type="gramStart"/>
      <w:r>
        <w:t>all of</w:t>
      </w:r>
      <w:proofErr w:type="gramEnd"/>
      <w:r>
        <w:t xml:space="preserve"> his frequent flyer points flying back to Calgary from wherever we were in the US to get my injections. He did all the driving. You do what you must. But having someone who’s there when you need to shed a tear — that matters a great deal.</w:t>
      </w:r>
    </w:p>
    <w:p w14:paraId="3986F92F" w14:textId="77777777" w:rsidR="00EB7486" w:rsidRDefault="00EB7486" w:rsidP="00EB7486">
      <w:pPr>
        <w:spacing w:after="80"/>
      </w:pPr>
    </w:p>
    <w:p w14:paraId="0A1261EF" w14:textId="77777777" w:rsidR="00EB7486" w:rsidRDefault="00EB7486" w:rsidP="00EB7486">
      <w:pPr>
        <w:pStyle w:val="Heading2"/>
      </w:pPr>
      <w:r>
        <w:t>Advice for the Newly Diagnosed</w:t>
      </w:r>
    </w:p>
    <w:p w14:paraId="7E43C9D7"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What advice would you give to someone newly diagnosed or feeling overwhelmed?</w:t>
      </w:r>
    </w:p>
    <w:p w14:paraId="09A329E8" w14:textId="77777777" w:rsidR="00EB7486" w:rsidRDefault="00EB7486" w:rsidP="00EB7486">
      <w:pPr>
        <w:spacing w:after="120"/>
      </w:pPr>
      <w:r>
        <w:rPr>
          <w:b/>
          <w:bCs/>
        </w:rPr>
        <w:t xml:space="preserve">Donna McLachlan: </w:t>
      </w:r>
      <w:r>
        <w:t>If anything feels off with your vision, act quickly. The sooner you see someone, the better. And then you persevere. You learn to live with it.</w:t>
      </w:r>
    </w:p>
    <w:p w14:paraId="538B52DE" w14:textId="77777777" w:rsidR="00EB7486" w:rsidRDefault="00EB7486" w:rsidP="00EB7486">
      <w:pPr>
        <w:spacing w:after="120"/>
      </w:pPr>
      <w:r>
        <w:rPr>
          <w:b/>
          <w:bCs/>
        </w:rPr>
        <w:lastRenderedPageBreak/>
        <w:t xml:space="preserve">Jessica Thomson: </w:t>
      </w:r>
      <w:r>
        <w:t>Everything Donna said, plus: be kind to yourself. Forgive yourself for the bad days, the frustrating moments, the times when something that used to be easy now isn’t. I try every day to focus on what I can still see rather than what I can’t. I don’t always succeed, but it’s the intention that helps.</w:t>
      </w:r>
    </w:p>
    <w:p w14:paraId="22F6E139" w14:textId="77777777" w:rsidR="00EB7486" w:rsidRDefault="00EB7486" w:rsidP="00EB7486">
      <w:pPr>
        <w:spacing w:after="80"/>
      </w:pPr>
    </w:p>
    <w:p w14:paraId="742B01A0" w14:textId="77777777" w:rsidR="00EB7486" w:rsidRDefault="00EB7486" w:rsidP="00EB7486">
      <w:pPr>
        <w:pStyle w:val="Heading2"/>
      </w:pPr>
      <w:r>
        <w:t>Maintaining Hobbies and Finding New Ones</w:t>
      </w:r>
    </w:p>
    <w:p w14:paraId="30EA40A0"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Have you been able to maintain your hobbies, or have you discovered new ones as your vision has changed?</w:t>
      </w:r>
    </w:p>
    <w:p w14:paraId="25BE0A60" w14:textId="77777777" w:rsidR="00EB7486" w:rsidRDefault="00EB7486" w:rsidP="00EB7486">
      <w:pPr>
        <w:spacing w:after="120"/>
      </w:pPr>
      <w:r>
        <w:rPr>
          <w:b/>
          <w:bCs/>
        </w:rPr>
        <w:t xml:space="preserve">Donna McLachlan: </w:t>
      </w:r>
      <w:r>
        <w:t>I quilt, which I love, though I’ve had less time for it than I imagined in retirement. One thing I’ve committed to since coming back to Victoria is getting back into the pool. Exercise is important for overall health, and I’m making myself do it.</w:t>
      </w:r>
    </w:p>
    <w:p w14:paraId="06A0CCF6" w14:textId="77777777" w:rsidR="00EB7486" w:rsidRDefault="00EB7486" w:rsidP="00EB7486">
      <w:pPr>
        <w:spacing w:after="120"/>
      </w:pPr>
      <w:r>
        <w:rPr>
          <w:b/>
          <w:bCs/>
        </w:rPr>
        <w:t xml:space="preserve">Jessica Thomson: </w:t>
      </w:r>
      <w:r>
        <w:t xml:space="preserve">Guitar is my main hobby, and I keep at it. I sometimes find I think I’m at one part of the neck and I’m </w:t>
      </w:r>
      <w:proofErr w:type="gramStart"/>
      <w:r>
        <w:t>actually not</w:t>
      </w:r>
      <w:proofErr w:type="gramEnd"/>
      <w:r>
        <w:t xml:space="preserve">, which would never have happened before. But people have been telling me for years that I should memorize </w:t>
      </w:r>
      <w:proofErr w:type="gramStart"/>
      <w:r>
        <w:t>the music</w:t>
      </w:r>
      <w:proofErr w:type="gramEnd"/>
      <w:r>
        <w:t xml:space="preserve"> rather than rely on </w:t>
      </w:r>
      <w:proofErr w:type="gramStart"/>
      <w:r>
        <w:t>looking —</w:t>
      </w:r>
      <w:proofErr w:type="gramEnd"/>
      <w:r>
        <w:t xml:space="preserve"> </w:t>
      </w:r>
      <w:proofErr w:type="gramStart"/>
      <w:r>
        <w:t>this</w:t>
      </w:r>
      <w:proofErr w:type="gramEnd"/>
      <w:r>
        <w:t xml:space="preserve"> has forced me to do that, which is probably a good thing. There are plenty of blind musicians, and I try to put myself in that mindset.</w:t>
      </w:r>
    </w:p>
    <w:p w14:paraId="61E3A2CD" w14:textId="77777777" w:rsidR="00EB7486" w:rsidRDefault="00EB7486" w:rsidP="00EB7486">
      <w:pPr>
        <w:spacing w:after="120"/>
      </w:pPr>
      <w:r>
        <w:t>Something else I’ve found helpful: being outside in nature, particularly in a forest. There’s so much visual information that my brain fills in the gaps, and my visual distortions seem to diminish. It’s comforting. Our brains are constantly filling in parts of our vision — everyone has a blind spot where the optic nerve enters the eye, and the brain compensates. For me, in a rich natural environment, that compensation seems to extend further, and I get some relief.</w:t>
      </w:r>
    </w:p>
    <w:p w14:paraId="74E97D78" w14:textId="77777777" w:rsidR="00EB7486" w:rsidRDefault="00EB7486" w:rsidP="00EB7486">
      <w:pPr>
        <w:spacing w:after="120"/>
      </w:pPr>
      <w:r>
        <w:rPr>
          <w:b/>
          <w:bCs/>
        </w:rPr>
        <w:t xml:space="preserve">Audience member: </w:t>
      </w:r>
      <w:r>
        <w:t xml:space="preserve">AMD has encouraged me not to procrastinate. I love to paint, and I’m not putting it off anymore. I’m also more </w:t>
      </w:r>
      <w:proofErr w:type="gramStart"/>
      <w:r>
        <w:t>careful about</w:t>
      </w:r>
      <w:proofErr w:type="gramEnd"/>
      <w:r>
        <w:t xml:space="preserve"> when I drive — I avoid winter driving and rainy days. Having watched my mother navigate vision loss for nearly 20 years, I feel like I have some idea of what lies ahead, and that’s </w:t>
      </w:r>
      <w:proofErr w:type="gramStart"/>
      <w:r>
        <w:t>actually given</w:t>
      </w:r>
      <w:proofErr w:type="gramEnd"/>
      <w:r>
        <w:t xml:space="preserve"> me a kind of head start in knowing how to cope.</w:t>
      </w:r>
    </w:p>
    <w:p w14:paraId="3C7F4D1F" w14:textId="77777777" w:rsidR="00EB7486" w:rsidRDefault="00EB7486" w:rsidP="00EB7486">
      <w:pPr>
        <w:spacing w:after="80"/>
      </w:pPr>
    </w:p>
    <w:p w14:paraId="7ABE60B8" w14:textId="77777777" w:rsidR="00EB7486" w:rsidRDefault="00EB7486" w:rsidP="00EB7486">
      <w:pPr>
        <w:pStyle w:val="Heading2"/>
      </w:pPr>
      <w:r>
        <w:t>Closing Remarks</w:t>
      </w:r>
    </w:p>
    <w:p w14:paraId="74917777" w14:textId="77777777" w:rsidR="00EB7486" w:rsidRDefault="00EB7486" w:rsidP="00EB7486">
      <w:pPr>
        <w:spacing w:after="120"/>
      </w:pPr>
      <w:r>
        <w:rPr>
          <w:b/>
          <w:bCs/>
        </w:rPr>
        <w:t xml:space="preserve">Ushany </w:t>
      </w:r>
      <w:proofErr w:type="spellStart"/>
      <w:r>
        <w:rPr>
          <w:b/>
          <w:bCs/>
        </w:rPr>
        <w:t>Kanagendiran</w:t>
      </w:r>
      <w:proofErr w:type="spellEnd"/>
      <w:r>
        <w:rPr>
          <w:b/>
          <w:bCs/>
        </w:rPr>
        <w:t xml:space="preserve">: </w:t>
      </w:r>
      <w:r>
        <w:t>Thank you both so much — it takes courage to come up here and share your stories, and it means a great deal to everyone in the room.</w:t>
      </w:r>
    </w:p>
    <w:p w14:paraId="7F95F76E" w14:textId="5274F33F" w:rsidR="4875D3CD" w:rsidRDefault="4875D3CD" w:rsidP="4875D3CD">
      <w:pPr>
        <w:rPr>
          <w:rFonts w:ascii="Aptos" w:eastAsia="Aptos" w:hAnsi="Aptos" w:cs="Aptos"/>
          <w:color w:val="auto"/>
        </w:rPr>
      </w:pPr>
    </w:p>
    <w:sectPr w:rsidR="4875D3CD" w:rsidSect="008E6DC2">
      <w:headerReference w:type="default" r:id="rId11"/>
      <w:footerReference w:type="default" r:id="rId1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60349" w14:textId="77777777" w:rsidR="00A30F5E" w:rsidRDefault="00A30F5E" w:rsidP="000B1565">
      <w:r>
        <w:separator/>
      </w:r>
    </w:p>
  </w:endnote>
  <w:endnote w:type="continuationSeparator" w:id="0">
    <w:p w14:paraId="73C55532" w14:textId="77777777" w:rsidR="00A30F5E" w:rsidRDefault="00A30F5E"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FFB06" w14:textId="77777777" w:rsidR="00A30F5E" w:rsidRDefault="00A30F5E" w:rsidP="000B1565">
      <w:r>
        <w:separator/>
      </w:r>
    </w:p>
  </w:footnote>
  <w:footnote w:type="continuationSeparator" w:id="0">
    <w:p w14:paraId="5CED2A61" w14:textId="77777777" w:rsidR="00A30F5E" w:rsidRDefault="00A30F5E"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1A187C0A"/>
    <w:lvl w:ilvl="0" w:tplc="247E8002">
      <w:start w:val="1"/>
      <w:numFmt w:val="bullet"/>
      <w:lvlText w:val="·"/>
      <w:lvlJc w:val="left"/>
      <w:pPr>
        <w:ind w:left="720" w:hanging="360"/>
      </w:pPr>
      <w:rPr>
        <w:rFonts w:ascii="Symbol" w:hAnsi="Symbol" w:hint="default"/>
      </w:rPr>
    </w:lvl>
    <w:lvl w:ilvl="1" w:tplc="3F503D2E">
      <w:start w:val="1"/>
      <w:numFmt w:val="bullet"/>
      <w:lvlText w:val="o"/>
      <w:lvlJc w:val="left"/>
      <w:pPr>
        <w:ind w:left="1440" w:hanging="360"/>
      </w:pPr>
      <w:rPr>
        <w:rFonts w:ascii="Courier New" w:hAnsi="Courier New" w:hint="default"/>
      </w:rPr>
    </w:lvl>
    <w:lvl w:ilvl="2" w:tplc="A0347A46">
      <w:start w:val="1"/>
      <w:numFmt w:val="bullet"/>
      <w:lvlText w:val=""/>
      <w:lvlJc w:val="left"/>
      <w:pPr>
        <w:ind w:left="2160" w:hanging="360"/>
      </w:pPr>
      <w:rPr>
        <w:rFonts w:ascii="Wingdings" w:hAnsi="Wingdings" w:hint="default"/>
      </w:rPr>
    </w:lvl>
    <w:lvl w:ilvl="3" w:tplc="476A069E">
      <w:start w:val="1"/>
      <w:numFmt w:val="bullet"/>
      <w:lvlText w:val=""/>
      <w:lvlJc w:val="left"/>
      <w:pPr>
        <w:ind w:left="2880" w:hanging="360"/>
      </w:pPr>
      <w:rPr>
        <w:rFonts w:ascii="Symbol" w:hAnsi="Symbol" w:hint="default"/>
      </w:rPr>
    </w:lvl>
    <w:lvl w:ilvl="4" w:tplc="1B9CAEAE">
      <w:start w:val="1"/>
      <w:numFmt w:val="bullet"/>
      <w:lvlText w:val="o"/>
      <w:lvlJc w:val="left"/>
      <w:pPr>
        <w:ind w:left="3600" w:hanging="360"/>
      </w:pPr>
      <w:rPr>
        <w:rFonts w:ascii="Courier New" w:hAnsi="Courier New" w:hint="default"/>
      </w:rPr>
    </w:lvl>
    <w:lvl w:ilvl="5" w:tplc="C51A2AB4">
      <w:start w:val="1"/>
      <w:numFmt w:val="bullet"/>
      <w:lvlText w:val=""/>
      <w:lvlJc w:val="left"/>
      <w:pPr>
        <w:ind w:left="4320" w:hanging="360"/>
      </w:pPr>
      <w:rPr>
        <w:rFonts w:ascii="Wingdings" w:hAnsi="Wingdings" w:hint="default"/>
      </w:rPr>
    </w:lvl>
    <w:lvl w:ilvl="6" w:tplc="8180A1E6">
      <w:start w:val="1"/>
      <w:numFmt w:val="bullet"/>
      <w:lvlText w:val=""/>
      <w:lvlJc w:val="left"/>
      <w:pPr>
        <w:ind w:left="5040" w:hanging="360"/>
      </w:pPr>
      <w:rPr>
        <w:rFonts w:ascii="Symbol" w:hAnsi="Symbol" w:hint="default"/>
      </w:rPr>
    </w:lvl>
    <w:lvl w:ilvl="7" w:tplc="94B0925E">
      <w:start w:val="1"/>
      <w:numFmt w:val="bullet"/>
      <w:lvlText w:val="o"/>
      <w:lvlJc w:val="left"/>
      <w:pPr>
        <w:ind w:left="5760" w:hanging="360"/>
      </w:pPr>
      <w:rPr>
        <w:rFonts w:ascii="Courier New" w:hAnsi="Courier New" w:hint="default"/>
      </w:rPr>
    </w:lvl>
    <w:lvl w:ilvl="8" w:tplc="C0AAEFCC">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8E4EB698"/>
    <w:lvl w:ilvl="0" w:tplc="65CCB2FE">
      <w:start w:val="1"/>
      <w:numFmt w:val="bullet"/>
      <w:lvlText w:val=""/>
      <w:lvlJc w:val="left"/>
      <w:pPr>
        <w:ind w:left="720" w:hanging="360"/>
      </w:pPr>
      <w:rPr>
        <w:rFonts w:ascii="Symbol" w:hAnsi="Symbol" w:hint="default"/>
      </w:rPr>
    </w:lvl>
    <w:lvl w:ilvl="1" w:tplc="6EECE456">
      <w:start w:val="1"/>
      <w:numFmt w:val="bullet"/>
      <w:lvlText w:val="o"/>
      <w:lvlJc w:val="left"/>
      <w:pPr>
        <w:ind w:left="1440" w:hanging="360"/>
      </w:pPr>
      <w:rPr>
        <w:rFonts w:ascii="Courier New" w:hAnsi="Courier New" w:hint="default"/>
      </w:rPr>
    </w:lvl>
    <w:lvl w:ilvl="2" w:tplc="32C2ABD8">
      <w:start w:val="1"/>
      <w:numFmt w:val="bullet"/>
      <w:lvlText w:val=""/>
      <w:lvlJc w:val="left"/>
      <w:pPr>
        <w:ind w:left="2160" w:hanging="360"/>
      </w:pPr>
      <w:rPr>
        <w:rFonts w:ascii="Wingdings" w:hAnsi="Wingdings" w:hint="default"/>
      </w:rPr>
    </w:lvl>
    <w:lvl w:ilvl="3" w:tplc="2ED04174">
      <w:start w:val="1"/>
      <w:numFmt w:val="bullet"/>
      <w:lvlText w:val=""/>
      <w:lvlJc w:val="left"/>
      <w:pPr>
        <w:ind w:left="2880" w:hanging="360"/>
      </w:pPr>
      <w:rPr>
        <w:rFonts w:ascii="Symbol" w:hAnsi="Symbol" w:hint="default"/>
      </w:rPr>
    </w:lvl>
    <w:lvl w:ilvl="4" w:tplc="7FC87ECC">
      <w:start w:val="1"/>
      <w:numFmt w:val="bullet"/>
      <w:lvlText w:val="o"/>
      <w:lvlJc w:val="left"/>
      <w:pPr>
        <w:ind w:left="3600" w:hanging="360"/>
      </w:pPr>
      <w:rPr>
        <w:rFonts w:ascii="Courier New" w:hAnsi="Courier New" w:hint="default"/>
      </w:rPr>
    </w:lvl>
    <w:lvl w:ilvl="5" w:tplc="B4D2692C">
      <w:start w:val="1"/>
      <w:numFmt w:val="bullet"/>
      <w:lvlText w:val=""/>
      <w:lvlJc w:val="left"/>
      <w:pPr>
        <w:ind w:left="4320" w:hanging="360"/>
      </w:pPr>
      <w:rPr>
        <w:rFonts w:ascii="Wingdings" w:hAnsi="Wingdings" w:hint="default"/>
      </w:rPr>
    </w:lvl>
    <w:lvl w:ilvl="6" w:tplc="4C98D256">
      <w:start w:val="1"/>
      <w:numFmt w:val="bullet"/>
      <w:lvlText w:val=""/>
      <w:lvlJc w:val="left"/>
      <w:pPr>
        <w:ind w:left="5040" w:hanging="360"/>
      </w:pPr>
      <w:rPr>
        <w:rFonts w:ascii="Symbol" w:hAnsi="Symbol" w:hint="default"/>
      </w:rPr>
    </w:lvl>
    <w:lvl w:ilvl="7" w:tplc="E7D0C508">
      <w:start w:val="1"/>
      <w:numFmt w:val="bullet"/>
      <w:lvlText w:val="o"/>
      <w:lvlJc w:val="left"/>
      <w:pPr>
        <w:ind w:left="5760" w:hanging="360"/>
      </w:pPr>
      <w:rPr>
        <w:rFonts w:ascii="Courier New" w:hAnsi="Courier New" w:hint="default"/>
      </w:rPr>
    </w:lvl>
    <w:lvl w:ilvl="8" w:tplc="37A6500E">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0132375E"/>
    <w:lvl w:ilvl="0" w:tplc="8B26A2D6">
      <w:start w:val="1"/>
      <w:numFmt w:val="bullet"/>
      <w:lvlText w:val="·"/>
      <w:lvlJc w:val="left"/>
      <w:pPr>
        <w:ind w:left="720" w:hanging="360"/>
      </w:pPr>
      <w:rPr>
        <w:rFonts w:ascii="Symbol" w:hAnsi="Symbol" w:hint="default"/>
      </w:rPr>
    </w:lvl>
    <w:lvl w:ilvl="1" w:tplc="7CB23388">
      <w:start w:val="1"/>
      <w:numFmt w:val="bullet"/>
      <w:lvlText w:val="o"/>
      <w:lvlJc w:val="left"/>
      <w:pPr>
        <w:ind w:left="1440" w:hanging="360"/>
      </w:pPr>
      <w:rPr>
        <w:rFonts w:ascii="Courier New" w:hAnsi="Courier New" w:hint="default"/>
      </w:rPr>
    </w:lvl>
    <w:lvl w:ilvl="2" w:tplc="38B27920">
      <w:start w:val="1"/>
      <w:numFmt w:val="bullet"/>
      <w:lvlText w:val=""/>
      <w:lvlJc w:val="left"/>
      <w:pPr>
        <w:ind w:left="2160" w:hanging="360"/>
      </w:pPr>
      <w:rPr>
        <w:rFonts w:ascii="Wingdings" w:hAnsi="Wingdings" w:hint="default"/>
      </w:rPr>
    </w:lvl>
    <w:lvl w:ilvl="3" w:tplc="5A5AC2EE">
      <w:start w:val="1"/>
      <w:numFmt w:val="bullet"/>
      <w:lvlText w:val=""/>
      <w:lvlJc w:val="left"/>
      <w:pPr>
        <w:ind w:left="2880" w:hanging="360"/>
      </w:pPr>
      <w:rPr>
        <w:rFonts w:ascii="Symbol" w:hAnsi="Symbol" w:hint="default"/>
      </w:rPr>
    </w:lvl>
    <w:lvl w:ilvl="4" w:tplc="A596E736">
      <w:start w:val="1"/>
      <w:numFmt w:val="bullet"/>
      <w:lvlText w:val="o"/>
      <w:lvlJc w:val="left"/>
      <w:pPr>
        <w:ind w:left="3600" w:hanging="360"/>
      </w:pPr>
      <w:rPr>
        <w:rFonts w:ascii="Courier New" w:hAnsi="Courier New" w:hint="default"/>
      </w:rPr>
    </w:lvl>
    <w:lvl w:ilvl="5" w:tplc="A7167C8E">
      <w:start w:val="1"/>
      <w:numFmt w:val="bullet"/>
      <w:lvlText w:val=""/>
      <w:lvlJc w:val="left"/>
      <w:pPr>
        <w:ind w:left="4320" w:hanging="360"/>
      </w:pPr>
      <w:rPr>
        <w:rFonts w:ascii="Wingdings" w:hAnsi="Wingdings" w:hint="default"/>
      </w:rPr>
    </w:lvl>
    <w:lvl w:ilvl="6" w:tplc="B4FCD3D2">
      <w:start w:val="1"/>
      <w:numFmt w:val="bullet"/>
      <w:lvlText w:val=""/>
      <w:lvlJc w:val="left"/>
      <w:pPr>
        <w:ind w:left="5040" w:hanging="360"/>
      </w:pPr>
      <w:rPr>
        <w:rFonts w:ascii="Symbol" w:hAnsi="Symbol" w:hint="default"/>
      </w:rPr>
    </w:lvl>
    <w:lvl w:ilvl="7" w:tplc="AACE266E">
      <w:start w:val="1"/>
      <w:numFmt w:val="bullet"/>
      <w:lvlText w:val="o"/>
      <w:lvlJc w:val="left"/>
      <w:pPr>
        <w:ind w:left="5760" w:hanging="360"/>
      </w:pPr>
      <w:rPr>
        <w:rFonts w:ascii="Courier New" w:hAnsi="Courier New" w:hint="default"/>
      </w:rPr>
    </w:lvl>
    <w:lvl w:ilvl="8" w:tplc="C48CDD64">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BE94C68A"/>
    <w:lvl w:ilvl="0" w:tplc="2DC65B6A">
      <w:start w:val="1"/>
      <w:numFmt w:val="bullet"/>
      <w:lvlText w:val=""/>
      <w:lvlJc w:val="left"/>
      <w:pPr>
        <w:ind w:left="720" w:hanging="360"/>
      </w:pPr>
      <w:rPr>
        <w:rFonts w:ascii="Symbol" w:hAnsi="Symbol" w:hint="default"/>
      </w:rPr>
    </w:lvl>
    <w:lvl w:ilvl="1" w:tplc="7F9E409C">
      <w:start w:val="1"/>
      <w:numFmt w:val="bullet"/>
      <w:lvlText w:val="o"/>
      <w:lvlJc w:val="left"/>
      <w:pPr>
        <w:ind w:left="1440" w:hanging="360"/>
      </w:pPr>
      <w:rPr>
        <w:rFonts w:ascii="Courier New" w:hAnsi="Courier New" w:hint="default"/>
      </w:rPr>
    </w:lvl>
    <w:lvl w:ilvl="2" w:tplc="FAB24C66">
      <w:start w:val="1"/>
      <w:numFmt w:val="bullet"/>
      <w:lvlText w:val=""/>
      <w:lvlJc w:val="left"/>
      <w:pPr>
        <w:ind w:left="2160" w:hanging="360"/>
      </w:pPr>
      <w:rPr>
        <w:rFonts w:ascii="Wingdings" w:hAnsi="Wingdings" w:hint="default"/>
      </w:rPr>
    </w:lvl>
    <w:lvl w:ilvl="3" w:tplc="341C9F62">
      <w:start w:val="1"/>
      <w:numFmt w:val="bullet"/>
      <w:lvlText w:val=""/>
      <w:lvlJc w:val="left"/>
      <w:pPr>
        <w:ind w:left="2880" w:hanging="360"/>
      </w:pPr>
      <w:rPr>
        <w:rFonts w:ascii="Symbol" w:hAnsi="Symbol" w:hint="default"/>
      </w:rPr>
    </w:lvl>
    <w:lvl w:ilvl="4" w:tplc="EED4E5E2">
      <w:start w:val="1"/>
      <w:numFmt w:val="bullet"/>
      <w:lvlText w:val="o"/>
      <w:lvlJc w:val="left"/>
      <w:pPr>
        <w:ind w:left="3600" w:hanging="360"/>
      </w:pPr>
      <w:rPr>
        <w:rFonts w:ascii="Courier New" w:hAnsi="Courier New" w:hint="default"/>
      </w:rPr>
    </w:lvl>
    <w:lvl w:ilvl="5" w:tplc="A16C3D6C">
      <w:start w:val="1"/>
      <w:numFmt w:val="bullet"/>
      <w:lvlText w:val=""/>
      <w:lvlJc w:val="left"/>
      <w:pPr>
        <w:ind w:left="4320" w:hanging="360"/>
      </w:pPr>
      <w:rPr>
        <w:rFonts w:ascii="Wingdings" w:hAnsi="Wingdings" w:hint="default"/>
      </w:rPr>
    </w:lvl>
    <w:lvl w:ilvl="6" w:tplc="AE325E9E">
      <w:start w:val="1"/>
      <w:numFmt w:val="bullet"/>
      <w:lvlText w:val=""/>
      <w:lvlJc w:val="left"/>
      <w:pPr>
        <w:ind w:left="5040" w:hanging="360"/>
      </w:pPr>
      <w:rPr>
        <w:rFonts w:ascii="Symbol" w:hAnsi="Symbol" w:hint="default"/>
      </w:rPr>
    </w:lvl>
    <w:lvl w:ilvl="7" w:tplc="571AD2D8">
      <w:start w:val="1"/>
      <w:numFmt w:val="bullet"/>
      <w:lvlText w:val="o"/>
      <w:lvlJc w:val="left"/>
      <w:pPr>
        <w:ind w:left="5760" w:hanging="360"/>
      </w:pPr>
      <w:rPr>
        <w:rFonts w:ascii="Courier New" w:hAnsi="Courier New" w:hint="default"/>
      </w:rPr>
    </w:lvl>
    <w:lvl w:ilvl="8" w:tplc="2E5609E8">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9DE84156"/>
    <w:lvl w:ilvl="0" w:tplc="0BBECEA4">
      <w:start w:val="1"/>
      <w:numFmt w:val="bullet"/>
      <w:lvlText w:val="·"/>
      <w:lvlJc w:val="left"/>
      <w:pPr>
        <w:ind w:left="720" w:hanging="360"/>
      </w:pPr>
      <w:rPr>
        <w:rFonts w:ascii="Symbol" w:hAnsi="Symbol" w:hint="default"/>
      </w:rPr>
    </w:lvl>
    <w:lvl w:ilvl="1" w:tplc="EE6C6B18">
      <w:start w:val="1"/>
      <w:numFmt w:val="bullet"/>
      <w:lvlText w:val="o"/>
      <w:lvlJc w:val="left"/>
      <w:pPr>
        <w:ind w:left="1440" w:hanging="360"/>
      </w:pPr>
      <w:rPr>
        <w:rFonts w:ascii="Courier New" w:hAnsi="Courier New" w:hint="default"/>
      </w:rPr>
    </w:lvl>
    <w:lvl w:ilvl="2" w:tplc="ECE24586">
      <w:start w:val="1"/>
      <w:numFmt w:val="bullet"/>
      <w:lvlText w:val=""/>
      <w:lvlJc w:val="left"/>
      <w:pPr>
        <w:ind w:left="2160" w:hanging="360"/>
      </w:pPr>
      <w:rPr>
        <w:rFonts w:ascii="Wingdings" w:hAnsi="Wingdings" w:hint="default"/>
      </w:rPr>
    </w:lvl>
    <w:lvl w:ilvl="3" w:tplc="BADC25E4">
      <w:start w:val="1"/>
      <w:numFmt w:val="bullet"/>
      <w:lvlText w:val=""/>
      <w:lvlJc w:val="left"/>
      <w:pPr>
        <w:ind w:left="2880" w:hanging="360"/>
      </w:pPr>
      <w:rPr>
        <w:rFonts w:ascii="Symbol" w:hAnsi="Symbol" w:hint="default"/>
      </w:rPr>
    </w:lvl>
    <w:lvl w:ilvl="4" w:tplc="1B7233EA">
      <w:start w:val="1"/>
      <w:numFmt w:val="bullet"/>
      <w:lvlText w:val="o"/>
      <w:lvlJc w:val="left"/>
      <w:pPr>
        <w:ind w:left="3600" w:hanging="360"/>
      </w:pPr>
      <w:rPr>
        <w:rFonts w:ascii="Courier New" w:hAnsi="Courier New" w:hint="default"/>
      </w:rPr>
    </w:lvl>
    <w:lvl w:ilvl="5" w:tplc="284A0E66">
      <w:start w:val="1"/>
      <w:numFmt w:val="bullet"/>
      <w:lvlText w:val=""/>
      <w:lvlJc w:val="left"/>
      <w:pPr>
        <w:ind w:left="4320" w:hanging="360"/>
      </w:pPr>
      <w:rPr>
        <w:rFonts w:ascii="Wingdings" w:hAnsi="Wingdings" w:hint="default"/>
      </w:rPr>
    </w:lvl>
    <w:lvl w:ilvl="6" w:tplc="C7940FD6">
      <w:start w:val="1"/>
      <w:numFmt w:val="bullet"/>
      <w:lvlText w:val=""/>
      <w:lvlJc w:val="left"/>
      <w:pPr>
        <w:ind w:left="5040" w:hanging="360"/>
      </w:pPr>
      <w:rPr>
        <w:rFonts w:ascii="Symbol" w:hAnsi="Symbol" w:hint="default"/>
      </w:rPr>
    </w:lvl>
    <w:lvl w:ilvl="7" w:tplc="C31A524C">
      <w:start w:val="1"/>
      <w:numFmt w:val="bullet"/>
      <w:lvlText w:val="o"/>
      <w:lvlJc w:val="left"/>
      <w:pPr>
        <w:ind w:left="5760" w:hanging="360"/>
      </w:pPr>
      <w:rPr>
        <w:rFonts w:ascii="Courier New" w:hAnsi="Courier New" w:hint="default"/>
      </w:rPr>
    </w:lvl>
    <w:lvl w:ilvl="8" w:tplc="B6B27964">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B6ABAD"/>
    <w:multiLevelType w:val="hybridMultilevel"/>
    <w:tmpl w:val="56068F08"/>
    <w:lvl w:ilvl="0" w:tplc="9BC2E4EE">
      <w:start w:val="1"/>
      <w:numFmt w:val="bullet"/>
      <w:lvlText w:val=""/>
      <w:lvlJc w:val="left"/>
      <w:pPr>
        <w:ind w:left="720" w:hanging="360"/>
      </w:pPr>
      <w:rPr>
        <w:rFonts w:ascii="Symbol" w:hAnsi="Symbol" w:hint="default"/>
      </w:rPr>
    </w:lvl>
    <w:lvl w:ilvl="1" w:tplc="0AF222EC">
      <w:start w:val="1"/>
      <w:numFmt w:val="bullet"/>
      <w:lvlText w:val="o"/>
      <w:lvlJc w:val="left"/>
      <w:pPr>
        <w:ind w:left="1440" w:hanging="360"/>
      </w:pPr>
      <w:rPr>
        <w:rFonts w:ascii="Courier New" w:hAnsi="Courier New" w:hint="default"/>
      </w:rPr>
    </w:lvl>
    <w:lvl w:ilvl="2" w:tplc="013CAF52">
      <w:start w:val="1"/>
      <w:numFmt w:val="bullet"/>
      <w:lvlText w:val=""/>
      <w:lvlJc w:val="left"/>
      <w:pPr>
        <w:ind w:left="2160" w:hanging="360"/>
      </w:pPr>
      <w:rPr>
        <w:rFonts w:ascii="Wingdings" w:hAnsi="Wingdings" w:hint="default"/>
      </w:rPr>
    </w:lvl>
    <w:lvl w:ilvl="3" w:tplc="587AB19E">
      <w:start w:val="1"/>
      <w:numFmt w:val="bullet"/>
      <w:lvlText w:val=""/>
      <w:lvlJc w:val="left"/>
      <w:pPr>
        <w:ind w:left="2880" w:hanging="360"/>
      </w:pPr>
      <w:rPr>
        <w:rFonts w:ascii="Symbol" w:hAnsi="Symbol" w:hint="default"/>
      </w:rPr>
    </w:lvl>
    <w:lvl w:ilvl="4" w:tplc="91364346">
      <w:start w:val="1"/>
      <w:numFmt w:val="bullet"/>
      <w:lvlText w:val="o"/>
      <w:lvlJc w:val="left"/>
      <w:pPr>
        <w:ind w:left="3600" w:hanging="360"/>
      </w:pPr>
      <w:rPr>
        <w:rFonts w:ascii="Courier New" w:hAnsi="Courier New" w:hint="default"/>
      </w:rPr>
    </w:lvl>
    <w:lvl w:ilvl="5" w:tplc="280A77B2">
      <w:start w:val="1"/>
      <w:numFmt w:val="bullet"/>
      <w:lvlText w:val=""/>
      <w:lvlJc w:val="left"/>
      <w:pPr>
        <w:ind w:left="4320" w:hanging="360"/>
      </w:pPr>
      <w:rPr>
        <w:rFonts w:ascii="Wingdings" w:hAnsi="Wingdings" w:hint="default"/>
      </w:rPr>
    </w:lvl>
    <w:lvl w:ilvl="6" w:tplc="422E3BE4">
      <w:start w:val="1"/>
      <w:numFmt w:val="bullet"/>
      <w:lvlText w:val=""/>
      <w:lvlJc w:val="left"/>
      <w:pPr>
        <w:ind w:left="5040" w:hanging="360"/>
      </w:pPr>
      <w:rPr>
        <w:rFonts w:ascii="Symbol" w:hAnsi="Symbol" w:hint="default"/>
      </w:rPr>
    </w:lvl>
    <w:lvl w:ilvl="7" w:tplc="12A46B5A">
      <w:start w:val="1"/>
      <w:numFmt w:val="bullet"/>
      <w:lvlText w:val="o"/>
      <w:lvlJc w:val="left"/>
      <w:pPr>
        <w:ind w:left="5760" w:hanging="360"/>
      </w:pPr>
      <w:rPr>
        <w:rFonts w:ascii="Courier New" w:hAnsi="Courier New" w:hint="default"/>
      </w:rPr>
    </w:lvl>
    <w:lvl w:ilvl="8" w:tplc="BC78DE82">
      <w:start w:val="1"/>
      <w:numFmt w:val="bullet"/>
      <w:lvlText w:val=""/>
      <w:lvlJc w:val="left"/>
      <w:pPr>
        <w:ind w:left="6480" w:hanging="360"/>
      </w:pPr>
      <w:rPr>
        <w:rFonts w:ascii="Wingdings" w:hAnsi="Wingdings" w:hint="default"/>
      </w:rPr>
    </w:lvl>
  </w:abstractNum>
  <w:abstractNum w:abstractNumId="55" w15:restartNumberingAfterBreak="0">
    <w:nsid w:val="66016B95"/>
    <w:multiLevelType w:val="hybridMultilevel"/>
    <w:tmpl w:val="87FAE5C0"/>
    <w:lvl w:ilvl="0" w:tplc="AB6E4E58">
      <w:start w:val="1"/>
      <w:numFmt w:val="bullet"/>
      <w:lvlText w:val="·"/>
      <w:lvlJc w:val="left"/>
      <w:pPr>
        <w:ind w:left="720" w:hanging="360"/>
      </w:pPr>
      <w:rPr>
        <w:rFonts w:ascii="Symbol" w:hAnsi="Symbol" w:hint="default"/>
      </w:rPr>
    </w:lvl>
    <w:lvl w:ilvl="1" w:tplc="D676EC7A">
      <w:start w:val="1"/>
      <w:numFmt w:val="bullet"/>
      <w:lvlText w:val="o"/>
      <w:lvlJc w:val="left"/>
      <w:pPr>
        <w:ind w:left="1440" w:hanging="360"/>
      </w:pPr>
      <w:rPr>
        <w:rFonts w:ascii="Courier New" w:hAnsi="Courier New" w:hint="default"/>
      </w:rPr>
    </w:lvl>
    <w:lvl w:ilvl="2" w:tplc="9454FFE6">
      <w:start w:val="1"/>
      <w:numFmt w:val="bullet"/>
      <w:lvlText w:val=""/>
      <w:lvlJc w:val="left"/>
      <w:pPr>
        <w:ind w:left="2160" w:hanging="360"/>
      </w:pPr>
      <w:rPr>
        <w:rFonts w:ascii="Wingdings" w:hAnsi="Wingdings" w:hint="default"/>
      </w:rPr>
    </w:lvl>
    <w:lvl w:ilvl="3" w:tplc="CBD42E52">
      <w:start w:val="1"/>
      <w:numFmt w:val="bullet"/>
      <w:lvlText w:val=""/>
      <w:lvlJc w:val="left"/>
      <w:pPr>
        <w:ind w:left="2880" w:hanging="360"/>
      </w:pPr>
      <w:rPr>
        <w:rFonts w:ascii="Symbol" w:hAnsi="Symbol" w:hint="default"/>
      </w:rPr>
    </w:lvl>
    <w:lvl w:ilvl="4" w:tplc="4F54D2F2">
      <w:start w:val="1"/>
      <w:numFmt w:val="bullet"/>
      <w:lvlText w:val="o"/>
      <w:lvlJc w:val="left"/>
      <w:pPr>
        <w:ind w:left="3600" w:hanging="360"/>
      </w:pPr>
      <w:rPr>
        <w:rFonts w:ascii="Courier New" w:hAnsi="Courier New" w:hint="default"/>
      </w:rPr>
    </w:lvl>
    <w:lvl w:ilvl="5" w:tplc="12769F76">
      <w:start w:val="1"/>
      <w:numFmt w:val="bullet"/>
      <w:lvlText w:val=""/>
      <w:lvlJc w:val="left"/>
      <w:pPr>
        <w:ind w:left="4320" w:hanging="360"/>
      </w:pPr>
      <w:rPr>
        <w:rFonts w:ascii="Wingdings" w:hAnsi="Wingdings" w:hint="default"/>
      </w:rPr>
    </w:lvl>
    <w:lvl w:ilvl="6" w:tplc="DBFA9734">
      <w:start w:val="1"/>
      <w:numFmt w:val="bullet"/>
      <w:lvlText w:val=""/>
      <w:lvlJc w:val="left"/>
      <w:pPr>
        <w:ind w:left="5040" w:hanging="360"/>
      </w:pPr>
      <w:rPr>
        <w:rFonts w:ascii="Symbol" w:hAnsi="Symbol" w:hint="default"/>
      </w:rPr>
    </w:lvl>
    <w:lvl w:ilvl="7" w:tplc="3AA07850">
      <w:start w:val="1"/>
      <w:numFmt w:val="bullet"/>
      <w:lvlText w:val="o"/>
      <w:lvlJc w:val="left"/>
      <w:pPr>
        <w:ind w:left="5760" w:hanging="360"/>
      </w:pPr>
      <w:rPr>
        <w:rFonts w:ascii="Courier New" w:hAnsi="Courier New" w:hint="default"/>
      </w:rPr>
    </w:lvl>
    <w:lvl w:ilvl="8" w:tplc="FE2A292A">
      <w:start w:val="1"/>
      <w:numFmt w:val="bullet"/>
      <w:lvlText w:val=""/>
      <w:lvlJc w:val="left"/>
      <w:pPr>
        <w:ind w:left="6480" w:hanging="360"/>
      </w:pPr>
      <w:rPr>
        <w:rFonts w:ascii="Wingdings" w:hAnsi="Wingdings" w:hint="default"/>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94281636">
    <w:abstractNumId w:val="9"/>
  </w:num>
  <w:num w:numId="2" w16cid:durableId="1272282907">
    <w:abstractNumId w:val="18"/>
  </w:num>
  <w:num w:numId="3" w16cid:durableId="21366333">
    <w:abstractNumId w:val="54"/>
  </w:num>
  <w:num w:numId="4" w16cid:durableId="1000306826">
    <w:abstractNumId w:val="55"/>
  </w:num>
  <w:num w:numId="5" w16cid:durableId="2003849630">
    <w:abstractNumId w:val="20"/>
  </w:num>
  <w:num w:numId="6" w16cid:durableId="510535357">
    <w:abstractNumId w:val="0"/>
  </w:num>
  <w:num w:numId="7" w16cid:durableId="1050570261">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19DC"/>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0F5E"/>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B74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4.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0</TotalTime>
  <Pages>11</Pages>
  <Words>4392</Words>
  <Characters>25040</Characters>
  <Application>Microsoft Office Word</Application>
  <DocSecurity>0</DocSecurity>
  <Lines>208</Lines>
  <Paragraphs>58</Paragraphs>
  <ScaleCrop>false</ScaleCrop>
  <Company/>
  <LinksUpToDate>false</LinksUpToDate>
  <CharactersWithSpaces>29374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20</cp:revision>
  <cp:lastPrinted>2019-06-07T18:48:00Z</cp:lastPrinted>
  <dcterms:created xsi:type="dcterms:W3CDTF">2025-01-10T16:35:00Z</dcterms:created>
  <dcterms:modified xsi:type="dcterms:W3CDTF">2026-04-09T13:42:00Z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