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9C344" w14:textId="77777777" w:rsidR="00784C5F" w:rsidRDefault="00784C5F" w:rsidP="00784C5F">
      <w:pPr>
        <w:pStyle w:val="Title"/>
      </w:pPr>
      <w:r>
        <w:t>IRD Coffee Connections – Calgary</w:t>
      </w:r>
    </w:p>
    <w:p w14:paraId="6354F120" w14:textId="77777777" w:rsidR="00784C5F" w:rsidRDefault="00784C5F" w:rsidP="00784C5F">
      <w:pPr>
        <w:spacing w:after="240"/>
      </w:pPr>
      <w:r>
        <w:rPr>
          <w:b/>
          <w:bCs/>
        </w:rPr>
        <w:t xml:space="preserve">Speakers: </w:t>
      </w:r>
      <w:r>
        <w:t>Morgan Ineson; Dr. Larissa Moniz; Dr. Gareth Mercer; Dagmar Jamieson; Wayne Kostiuk</w:t>
      </w:r>
    </w:p>
    <w:p w14:paraId="317ADD0A" w14:textId="7959E0AF" w:rsidR="00784C5F" w:rsidRDefault="00784C5F" w:rsidP="00784C5F">
      <w:pPr>
        <w:spacing w:after="120"/>
      </w:pPr>
      <w:r>
        <w:t xml:space="preserve">If you have questions about your diagnosis or would like support finding resources, please contact the Fighting Blindness Canada Health Information Line at </w:t>
      </w:r>
      <w:hyperlink r:id="rId11" w:history="1">
        <w:r w:rsidRPr="00203200">
          <w:rPr>
            <w:rStyle w:val="Hyperlink"/>
          </w:rPr>
          <w:t>healthinfo@fightingblindness.ca</w:t>
        </w:r>
      </w:hyperlink>
      <w:r>
        <w:t xml:space="preserve"> </w:t>
      </w:r>
      <w:r>
        <w:t>or by phone. Our team is available to help you navigate your condition, find relevant clinical trials, and connect you with trusted information and support.</w:t>
      </w:r>
    </w:p>
    <w:p w14:paraId="4CB34858" w14:textId="77777777" w:rsidR="00784C5F" w:rsidRDefault="00784C5F" w:rsidP="00784C5F">
      <w:pPr>
        <w:pStyle w:val="Heading1"/>
      </w:pPr>
      <w:r>
        <w:t>Part One: Expert Discussion</w:t>
      </w:r>
    </w:p>
    <w:p w14:paraId="14EB2B24" w14:textId="77777777" w:rsidR="00784C5F" w:rsidRDefault="00784C5F" w:rsidP="00784C5F">
      <w:pPr>
        <w:pStyle w:val="Heading2"/>
      </w:pPr>
      <w:r>
        <w:t>Overview and Disclaimer</w:t>
      </w:r>
    </w:p>
    <w:p w14:paraId="1CE2CF62" w14:textId="77777777" w:rsidR="00784C5F" w:rsidRDefault="00784C5F" w:rsidP="00784C5F">
      <w:pPr>
        <w:spacing w:after="120"/>
      </w:pPr>
      <w:r>
        <w:rPr>
          <w:b/>
          <w:bCs/>
        </w:rPr>
        <w:t xml:space="preserve">Morgan Ineson: </w:t>
      </w:r>
      <w:r>
        <w:t>Today’s program will be in a few parts. We’ll start with an overview of inherited retinal diseases and research with Dr. Gareth Mercer and Dr. Larissa Moniz, then open the floor to your questions. After a short break, we’ll hear from Dagmar Jamieson and Wayne Kostiuk about their experience living with an IRD.</w:t>
      </w:r>
    </w:p>
    <w:p w14:paraId="443AAB22" w14:textId="77777777" w:rsidR="00784C5F" w:rsidRDefault="00784C5F" w:rsidP="00784C5F">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10D761DB" w14:textId="77777777" w:rsidR="00784C5F" w:rsidRDefault="00784C5F" w:rsidP="00784C5F">
      <w:pPr>
        <w:spacing w:after="120"/>
      </w:pPr>
      <w:r>
        <w:t>Dr. Gareth Mercer is a retina surgeon at St. Michael’s Hospital and the Hospital for Sick Children in Toronto, and leads a clinic for patients with inherited retinal dystrophies at the Kensington Eye Institute. His clinical and research interests focus on inherited retinal diseases, pediatric retinal detachment, and improving equity in access to eye care. Welcome, Dr. Mercer.</w:t>
      </w:r>
    </w:p>
    <w:p w14:paraId="31D1D2F8" w14:textId="77777777" w:rsidR="00784C5F" w:rsidRDefault="00784C5F" w:rsidP="00784C5F">
      <w:pPr>
        <w:spacing w:after="80"/>
      </w:pPr>
    </w:p>
    <w:p w14:paraId="599747B6" w14:textId="77777777" w:rsidR="00784C5F" w:rsidRDefault="00784C5F" w:rsidP="00784C5F">
      <w:pPr>
        <w:pStyle w:val="Heading2"/>
      </w:pPr>
      <w:r>
        <w:t>What Are Inherited Retinal Diseases?</w:t>
      </w:r>
    </w:p>
    <w:p w14:paraId="1BA7063C" w14:textId="77777777" w:rsidR="00784C5F" w:rsidRDefault="00784C5F" w:rsidP="00784C5F">
      <w:pPr>
        <w:spacing w:after="120"/>
      </w:pPr>
      <w:r>
        <w:rPr>
          <w:b/>
          <w:bCs/>
        </w:rPr>
        <w:t xml:space="preserve">Morgan Ineson: </w:t>
      </w:r>
      <w:r>
        <w:t>Could you give us a simple overview of what inherited retinal diseases are and what they have in common?</w:t>
      </w:r>
    </w:p>
    <w:p w14:paraId="71A6DB99" w14:textId="77777777" w:rsidR="00784C5F" w:rsidRDefault="00784C5F" w:rsidP="00784C5F">
      <w:pPr>
        <w:spacing w:after="120"/>
      </w:pPr>
      <w:r>
        <w:rPr>
          <w:b/>
          <w:bCs/>
        </w:rPr>
        <w:t xml:space="preserve">Dr. Gareth Mercer: </w:t>
      </w:r>
      <w:r>
        <w:t>Inherited retinal diseases are a group of conditions that share one underlying theme: they are caused by an inherited change in the genes — the instructions the body uses to build the retina, the light-sensitive layer at the back of the eye. These alterations in the genetic instructions cause the light-sensing cells, or the cells that support their health, to wear out or become dysfunctional earlier than they ordinarily would. Over time, the retina and its underlying layers begin to thin and atrophy. To break down the terminology: inherited means the gene change comes from your ancestors; retinal refers to the photographic film at the back of the eye; and dystrophy means a change that happens as a result of something acquired at birth, resulting in dysfunction.</w:t>
      </w:r>
    </w:p>
    <w:p w14:paraId="29437871" w14:textId="77777777" w:rsidR="00784C5F" w:rsidRDefault="00784C5F" w:rsidP="00784C5F">
      <w:pPr>
        <w:spacing w:after="80"/>
      </w:pPr>
    </w:p>
    <w:p w14:paraId="1C704445" w14:textId="77777777" w:rsidR="00784C5F" w:rsidRDefault="00784C5F" w:rsidP="00784C5F">
      <w:pPr>
        <w:pStyle w:val="Heading2"/>
      </w:pPr>
      <w:r>
        <w:lastRenderedPageBreak/>
        <w:t>How Do IRDs Affect Vision Over Time?</w:t>
      </w:r>
    </w:p>
    <w:p w14:paraId="19F7CDE8" w14:textId="77777777" w:rsidR="00784C5F" w:rsidRDefault="00784C5F" w:rsidP="00784C5F">
      <w:pPr>
        <w:spacing w:after="120"/>
      </w:pPr>
      <w:r>
        <w:rPr>
          <w:b/>
          <w:bCs/>
        </w:rPr>
        <w:t xml:space="preserve">Morgan Ineson: </w:t>
      </w:r>
      <w:r>
        <w:t>People often have very different experiences depending on their condition. What are some of the common ways IRDs can affect vision over the course of someone’s life?</w:t>
      </w:r>
    </w:p>
    <w:p w14:paraId="52A2F1A8" w14:textId="77777777" w:rsidR="00784C5F" w:rsidRDefault="00784C5F" w:rsidP="00784C5F">
      <w:pPr>
        <w:spacing w:after="120"/>
      </w:pPr>
      <w:r>
        <w:rPr>
          <w:b/>
          <w:bCs/>
        </w:rPr>
        <w:t xml:space="preserve">Dr. Gareth Mercer: </w:t>
      </w:r>
      <w:r>
        <w:t>IRDs can affect several different aspects of visual functioning. One is peripheral vision — the ability to navigate, recognize things at the edges of your field, and get around in low-light conditions. Another is central vision — reading print and recognizing faces. Different conditions affect these differently.</w:t>
      </w:r>
    </w:p>
    <w:p w14:paraId="501D9299" w14:textId="77777777" w:rsidR="00784C5F" w:rsidRDefault="00784C5F" w:rsidP="00784C5F">
      <w:pPr>
        <w:spacing w:after="120"/>
      </w:pPr>
      <w:r>
        <w:t>The two most well-known inherited retinal diseases are retinitis pigmentosa and Stargardt disease. Retinitis pigmentosa is a rod-cone dystrophy that typically affects peripheral vision and night vision first. People with RP often notice challenges with navigation and recognizing things in their peripheral field, particularly in dim light. Stargardt disease, which belongs to a larger group called macular dystrophies, tends to affect central vision at an early stage, making tasks like reading and face recognition difficult. These two conditions are really good examples of the different directions IRDs can take.</w:t>
      </w:r>
    </w:p>
    <w:p w14:paraId="198DC5E3" w14:textId="77777777" w:rsidR="00784C5F" w:rsidRDefault="00784C5F" w:rsidP="00784C5F">
      <w:pPr>
        <w:spacing w:after="80"/>
      </w:pPr>
    </w:p>
    <w:p w14:paraId="6EED41D2" w14:textId="77777777" w:rsidR="00784C5F" w:rsidRDefault="00784C5F" w:rsidP="00784C5F">
      <w:pPr>
        <w:pStyle w:val="Heading2"/>
      </w:pPr>
      <w:r>
        <w:t>Research Approaches: Gene Therapy, Neuroprotection, and Restoration</w:t>
      </w:r>
    </w:p>
    <w:p w14:paraId="1F030383" w14:textId="77777777" w:rsidR="00784C5F" w:rsidRDefault="00784C5F" w:rsidP="00784C5F">
      <w:pPr>
        <w:spacing w:after="120"/>
      </w:pPr>
      <w:r>
        <w:rPr>
          <w:b/>
          <w:bCs/>
        </w:rPr>
        <w:t xml:space="preserve">Morgan Ineson: </w:t>
      </w:r>
      <w:r>
        <w:t>Dr. Moniz, can you give us a high-level sense of the types of research approaches being explored in the IRD space?</w:t>
      </w:r>
    </w:p>
    <w:p w14:paraId="51AA738F" w14:textId="77777777" w:rsidR="00784C5F" w:rsidRDefault="00784C5F" w:rsidP="00784C5F">
      <w:pPr>
        <w:spacing w:after="120"/>
      </w:pPr>
      <w:r>
        <w:rPr>
          <w:b/>
          <w:bCs/>
        </w:rPr>
        <w:t xml:space="preserve">Dr. Larissa Moniz: </w:t>
      </w:r>
      <w:r>
        <w:t>The first and most advanced area is gene replacement therapy. Because inherited retinal diseases are caused by changes in specific genes, gene replacement therapy aims to put in a functional copy of the affected gene to restore whatever function the cell has lost. There are over 300 different genes that have been identified so far as causes of IRDs, so the scope of work is enormous. Currently, there is one approved gene therapy — Luxturna, for mutations in the RPE65 gene. It has been approved in Canada, and dozens of Canadians have received it, with meaningful improvements in their vision and the hope of slowing progression. A number of other gene replacement therapies are in clinical trials, but Luxturna remains the only one to reach approval.</w:t>
      </w:r>
    </w:p>
    <w:p w14:paraId="13200CEB" w14:textId="77777777" w:rsidR="00784C5F" w:rsidRDefault="00784C5F" w:rsidP="00784C5F">
      <w:pPr>
        <w:spacing w:after="120"/>
      </w:pPr>
      <w:r>
        <w:t>A related approach is gene editing — rather than replacing the gene entirely, scientists make a very targeted correction to the existing gene. Some of these approaches are not permanent and may require ongoing treatment, similar to taking a medication.</w:t>
      </w:r>
    </w:p>
    <w:p w14:paraId="4F9C504A" w14:textId="77777777" w:rsidR="00784C5F" w:rsidRDefault="00784C5F" w:rsidP="00784C5F">
      <w:pPr>
        <w:spacing w:after="120"/>
      </w:pPr>
      <w:r>
        <w:t>There are also gene-agnostic therapies — treatments designed to help regardless of which specific gene is causing the disease. Given the scale of developing separate therapies for over 300 different genes, gene-agnostic approaches are a very active area. One example currently in a phase three clinical trial is N-acetylcysteine, or NAC — an oral medication that acts as a neuroprotective agent, helping protect the light-sensing cells from damage and keeping them healthier for longer. Several other neuroprotective therapies are also being studied.</w:t>
      </w:r>
    </w:p>
    <w:p w14:paraId="3AC0F436" w14:textId="77777777" w:rsidR="00784C5F" w:rsidRDefault="00784C5F" w:rsidP="00784C5F">
      <w:pPr>
        <w:spacing w:after="120"/>
      </w:pPr>
      <w:r>
        <w:lastRenderedPageBreak/>
        <w:t>For people who have already experienced significant vision loss and have very few remaining photoreceptor cells, restorative therapies are needed. Two examples: stem cell therapy, where scientists take a cell from the body — even a skin cell — reprogram it into what’s called an induced pluripotent stem cell, guide it to become a retinal cell, and then test whether it can be transplanted back into the retina to restore function. Fighting Blindness Canada has funded Dr. David Lam at the University of British Columbia in this area, and his work is now in a phase one clinical trial through a company called Blue Rock. The other restorative approach is optogenetics — taking other healthy retinal cells that remain after photoreceptors are lost and, by introducing specific genes or molecules, turning them into light sensors so they can take on some of the photoreceptors’ function.</w:t>
      </w:r>
    </w:p>
    <w:p w14:paraId="1765807B" w14:textId="77777777" w:rsidR="00784C5F" w:rsidRDefault="00784C5F" w:rsidP="00784C5F">
      <w:pPr>
        <w:spacing w:after="120"/>
      </w:pPr>
      <w:r>
        <w:rPr>
          <w:b/>
          <w:bCs/>
        </w:rPr>
        <w:t xml:space="preserve">Dr. Gareth Mercer: </w:t>
      </w:r>
      <w:r>
        <w:t>I’d add one useful way to categorize these therapies: those that are more like traditional medicines — small molecules taken as pills that can be started or stopped — versus genetic therapies that are delivered surgically and make changes at the level of DNA. The latter are a more recent innovation and are extremely exciting, but there is still much to learn about their long-term impact on the body. That distinction matters when you’re thinking about participating in a clinical trial or receiving a new therapy.</w:t>
      </w:r>
    </w:p>
    <w:p w14:paraId="2BFE9F63" w14:textId="77777777" w:rsidR="00784C5F" w:rsidRDefault="00784C5F" w:rsidP="00784C5F">
      <w:pPr>
        <w:spacing w:after="80"/>
      </w:pPr>
    </w:p>
    <w:p w14:paraId="6235755A" w14:textId="77777777" w:rsidR="00784C5F" w:rsidRDefault="00784C5F" w:rsidP="00784C5F">
      <w:pPr>
        <w:pStyle w:val="Heading2"/>
      </w:pPr>
      <w:r>
        <w:t>Dr. Mercer’s Research: Inherited Retinal Disease and Pediatric Retinal Detachment</w:t>
      </w:r>
    </w:p>
    <w:p w14:paraId="37E3D61D" w14:textId="77777777" w:rsidR="00784C5F" w:rsidRDefault="00784C5F" w:rsidP="00784C5F">
      <w:pPr>
        <w:spacing w:after="120"/>
      </w:pPr>
      <w:r>
        <w:rPr>
          <w:b/>
          <w:bCs/>
        </w:rPr>
        <w:t xml:space="preserve">Morgan Ineson: </w:t>
      </w:r>
      <w:r>
        <w:t>Dr. Mercer, can you tell us a bit about the research you’re working on?</w:t>
      </w:r>
    </w:p>
    <w:p w14:paraId="3A99D6E6" w14:textId="77777777" w:rsidR="00784C5F" w:rsidRDefault="00784C5F" w:rsidP="00784C5F">
      <w:pPr>
        <w:spacing w:after="120"/>
      </w:pPr>
      <w:r>
        <w:rPr>
          <w:b/>
          <w:bCs/>
        </w:rPr>
        <w:t xml:space="preserve">Dr. Gareth Mercer: </w:t>
      </w:r>
      <w:r>
        <w:t>My particular interest is in a group of inherited conditions that don’t cause degeneration in quite the typical way we associate with conditions like RP, but do predispose children to developing retinal detachments. Retinal detachment is more commonly an aging-related change, but certain inherited changes in the structure of the retina and the gel that fills the eye can cause it to happen in young children — often before they’re even aware anything is wrong. Children’s eyes are in some ways more surgically challenging than adult eyes, and these detachments can be quite advanced by the time they’re detected. I’m interested in better understanding what it is about these conditions that predisposes children to this, and in finding ways to reduce that risk — whether through therapies we already have like laser, or through novel medications that might affect how the genes manifest in the protein structure of the eye.</w:t>
      </w:r>
    </w:p>
    <w:p w14:paraId="3AD61085" w14:textId="77777777" w:rsidR="00784C5F" w:rsidRDefault="00784C5F" w:rsidP="00784C5F">
      <w:pPr>
        <w:spacing w:after="80"/>
      </w:pPr>
    </w:p>
    <w:p w14:paraId="4144856C" w14:textId="77777777" w:rsidR="00784C5F" w:rsidRDefault="00784C5F" w:rsidP="00784C5F">
      <w:pPr>
        <w:pStyle w:val="Heading2"/>
      </w:pPr>
      <w:r>
        <w:t>Clinical Trials: What to Know Before Participating</w:t>
      </w:r>
    </w:p>
    <w:p w14:paraId="7CBF6888" w14:textId="77777777" w:rsidR="00784C5F" w:rsidRDefault="00784C5F" w:rsidP="00784C5F">
      <w:pPr>
        <w:spacing w:after="120"/>
      </w:pPr>
      <w:r>
        <w:rPr>
          <w:b/>
          <w:bCs/>
        </w:rPr>
        <w:t xml:space="preserve">Morgan Ineson: </w:t>
      </w:r>
      <w:r>
        <w:t>For people interested in learning about or participating in clinical trials, what should they know and consider?</w:t>
      </w:r>
    </w:p>
    <w:p w14:paraId="561A239D" w14:textId="77777777" w:rsidR="00784C5F" w:rsidRDefault="00784C5F" w:rsidP="00784C5F">
      <w:pPr>
        <w:spacing w:after="120"/>
      </w:pPr>
      <w:r>
        <w:rPr>
          <w:b/>
          <w:bCs/>
        </w:rPr>
        <w:t xml:space="preserve">Dr. Larissa Moniz: </w:t>
      </w:r>
      <w:r>
        <w:t xml:space="preserve">The first thing is understanding what type of study it is. A natural history study doesn’t involve any treatment — researchers are trying to understand how the disease progresses over time. For rare diseases, we often don’t have good data on how quickly vision </w:t>
      </w:r>
      <w:r>
        <w:lastRenderedPageBreak/>
        <w:t>changes or what happens to cells in the eye, and that information is essential for designing good treatment trials. Participating in a natural history study is a genuinely important contribution to research, even though you won’t receive a treatment.</w:t>
      </w:r>
    </w:p>
    <w:p w14:paraId="43D521C4" w14:textId="77777777" w:rsidR="00784C5F" w:rsidRDefault="00784C5F" w:rsidP="00784C5F">
      <w:pPr>
        <w:spacing w:after="120"/>
      </w:pPr>
      <w:r>
        <w:t>Treatment clinical trials come in phases. Phase 1 is primarily asking: is this safe in humans? Phase 2 and 3 are larger, and add the question: is it effective? The earlier the phase, the more uncertainty there is. If you have good remaining vision, you may want to be cautious about a phase 1 trial, because there is always some risk when a treatment is being evaluated for the first time in humans.</w:t>
      </w:r>
    </w:p>
    <w:p w14:paraId="627D2CF9" w14:textId="77777777" w:rsidR="00784C5F" w:rsidRDefault="00784C5F" w:rsidP="00784C5F">
      <w:pPr>
        <w:spacing w:after="120"/>
      </w:pPr>
      <w:r>
        <w:t>Another key consideration: if you participate in one trial, you may not be eligible for others. For some conditions, where there is only one treatment likely to come along in the foreseeable future, this matters less. For others, where multiple treatments are in development, it’s worth talking to your doctor about which trial represents the best path for you. Alberta is actually in a strong position here — the Royal Alexandra Hospital in Edmonton is one of only three centres in Canada, alongside Toronto and Montreal, that are hosting clinical trials for inherited retinal diseases.</w:t>
      </w:r>
    </w:p>
    <w:p w14:paraId="77334550" w14:textId="77777777" w:rsidR="00784C5F" w:rsidRDefault="00784C5F" w:rsidP="00784C5F">
      <w:pPr>
        <w:spacing w:after="120"/>
      </w:pPr>
      <w:r>
        <w:rPr>
          <w:b/>
          <w:bCs/>
        </w:rPr>
        <w:t xml:space="preserve">Dr. Gareth Mercer: </w:t>
      </w:r>
      <w:r>
        <w:t>I’d add that in the later phase three trials, participation is randomized, meaning you may receive the placebo rather than the treatment. That’s an important thing to understand before you commit. And importantly, there have been many cases where people in trials received benefit from the therapy even if the trial ultimately didn’t meet its pre-specified endpoints and wasn’t approved. The benefit to the individual and the outcome of the trial are separate things. For many people, waiting for an approved treatment is the right choice, and that’s entirely reasonable — your physician can help you think through what makes sense for your specific situation.</w:t>
      </w:r>
    </w:p>
    <w:p w14:paraId="04F70DBF" w14:textId="77777777" w:rsidR="00784C5F" w:rsidRDefault="00784C5F" w:rsidP="00784C5F">
      <w:pPr>
        <w:spacing w:after="80"/>
      </w:pPr>
    </w:p>
    <w:p w14:paraId="14D6F949" w14:textId="77777777" w:rsidR="00784C5F" w:rsidRDefault="00784C5F" w:rsidP="00784C5F">
      <w:pPr>
        <w:pStyle w:val="Heading2"/>
      </w:pPr>
      <w:r>
        <w:t>Q&amp;A: Robotics and Artificial Retinas</w:t>
      </w:r>
    </w:p>
    <w:p w14:paraId="16260F08" w14:textId="77777777" w:rsidR="00784C5F" w:rsidRDefault="00784C5F" w:rsidP="00784C5F">
      <w:pPr>
        <w:spacing w:after="120"/>
      </w:pPr>
      <w:r>
        <w:rPr>
          <w:b/>
          <w:bCs/>
        </w:rPr>
        <w:t xml:space="preserve">Audience member: </w:t>
      </w:r>
      <w:r>
        <w:t>Is there research happening around robotics or artificial retinas — replacing damaged tissue with a device?</w:t>
      </w:r>
    </w:p>
    <w:p w14:paraId="4D1B7182" w14:textId="77777777" w:rsidR="00784C5F" w:rsidRDefault="00784C5F" w:rsidP="00784C5F">
      <w:pPr>
        <w:spacing w:after="120"/>
      </w:pPr>
      <w:r>
        <w:rPr>
          <w:b/>
          <w:bCs/>
        </w:rPr>
        <w:t xml:space="preserve">Dr. Gareth Mercer: </w:t>
      </w:r>
      <w:r>
        <w:t>Yes — the most well-known example was the Argus implant, a chip placed within the eye on top of the retina that delivered electrical stimuli fed from a wearable camera. It was, in a sense, an artificial retina. There are other devices being investigated along similar lines, including some using electrodes on the surface of the skin, and Neuralink is exploring direct stimulation of the visual cortex of the brain, bypassing the eye entirely. However, while we are incredibly sophisticated at miniaturizing technology, neural tissue is still orders of magnitude more sophisticated than what we can produce electronically. The resolution achievable with current chip technology is far below what the retina itself can achieve. The holy grail remains stem cell therapy that can regenerate healthy retinal tissue, because that biological tissue and the processing it performs still results in vision of a far higher quality than any robotic system we currently have.</w:t>
      </w:r>
    </w:p>
    <w:p w14:paraId="30DE6CA2" w14:textId="77777777" w:rsidR="00784C5F" w:rsidRDefault="00784C5F" w:rsidP="00784C5F">
      <w:pPr>
        <w:spacing w:after="80"/>
      </w:pPr>
    </w:p>
    <w:p w14:paraId="5FFA459C" w14:textId="77777777" w:rsidR="00784C5F" w:rsidRDefault="00784C5F" w:rsidP="00784C5F">
      <w:pPr>
        <w:pStyle w:val="Heading2"/>
      </w:pPr>
      <w:r>
        <w:t>Q&amp;A: The IRD Patient Registry</w:t>
      </w:r>
    </w:p>
    <w:p w14:paraId="1F4D6BCF" w14:textId="77777777" w:rsidR="00784C5F" w:rsidRDefault="00784C5F" w:rsidP="00784C5F">
      <w:pPr>
        <w:spacing w:after="120"/>
      </w:pPr>
      <w:r>
        <w:rPr>
          <w:b/>
          <w:bCs/>
        </w:rPr>
        <w:t xml:space="preserve">Audience member: </w:t>
      </w:r>
      <w:r>
        <w:t>How do we know if our information is in the IRD patient registry and if it’s accurate?</w:t>
      </w:r>
    </w:p>
    <w:p w14:paraId="782D9A85" w14:textId="77777777" w:rsidR="00784C5F" w:rsidRDefault="00784C5F" w:rsidP="00784C5F">
      <w:pPr>
        <w:spacing w:after="120"/>
      </w:pPr>
      <w:r>
        <w:rPr>
          <w:b/>
          <w:bCs/>
        </w:rPr>
        <w:t xml:space="preserve">Dr. Larissa Moniz: </w:t>
      </w:r>
      <w:r>
        <w:t>The IRD patient registry is held at individual hospital sites across the country — in Alberta, the site is at the Royal Alexandra Hospital in Edmonton. There are also sites in BC, Toronto, Montreal, and Halifax. If you have an inherited retinal disease and have had genetic testing, you can speak with your retinal specialist to be entered. The purpose of the registry is to identify patients when new clinical trials become available in Canada, particularly gene-specific trials. When Luxturna came to Canada, the registry was used to identify patients with specific mutations.</w:t>
      </w:r>
    </w:p>
    <w:p w14:paraId="088DD49C" w14:textId="77777777" w:rsidR="00784C5F" w:rsidRDefault="00784C5F" w:rsidP="00784C5F">
      <w:pPr>
        <w:spacing w:after="120"/>
      </w:pPr>
      <w:r>
        <w:t>The data is anonymized — only your site holds your name and demographic information. If you think you’re in the registry and want to confirm, you can email us and we’ll find out from the site. We’re also starting an annual registry newsletter, so if you’re enrolled, you should receive an email from your site in the next month or two. If you don’t, please reach out and we’ll help make sure your information is correct and up to date.</w:t>
      </w:r>
    </w:p>
    <w:p w14:paraId="4422148D" w14:textId="77777777" w:rsidR="00784C5F" w:rsidRDefault="00784C5F" w:rsidP="00784C5F">
      <w:pPr>
        <w:spacing w:after="80"/>
      </w:pPr>
    </w:p>
    <w:p w14:paraId="6A7B41AF" w14:textId="77777777" w:rsidR="00784C5F" w:rsidRDefault="00784C5F" w:rsidP="00784C5F">
      <w:pPr>
        <w:pStyle w:val="Heading2"/>
      </w:pPr>
      <w:r>
        <w:t>Q&amp;A: Can Canadians Participate in International Clinical Trials?</w:t>
      </w:r>
    </w:p>
    <w:p w14:paraId="1593B5F6" w14:textId="77777777" w:rsidR="00784C5F" w:rsidRDefault="00784C5F" w:rsidP="00784C5F">
      <w:pPr>
        <w:spacing w:after="120"/>
      </w:pPr>
      <w:r>
        <w:rPr>
          <w:b/>
          <w:bCs/>
        </w:rPr>
        <w:t xml:space="preserve">Audience member: </w:t>
      </w:r>
      <w:r>
        <w:t>Can Canadians participate in clinical trials that are happening in the US or other countries?</w:t>
      </w:r>
    </w:p>
    <w:p w14:paraId="5EB85A9C" w14:textId="77777777" w:rsidR="00784C5F" w:rsidRDefault="00784C5F" w:rsidP="00784C5F">
      <w:pPr>
        <w:spacing w:after="120"/>
      </w:pPr>
      <w:r>
        <w:rPr>
          <w:b/>
          <w:bCs/>
        </w:rPr>
        <w:t xml:space="preserve">Dr. Larissa Moniz: </w:t>
      </w:r>
      <w:r>
        <w:t>Absolutely. Each trial recruits differently — sites often reach out to their own patients first, partly for geographic convenience, since trials can involve multiple appointments over time. But for rare diseases, it’s very common for patients to travel internationally, and sites often actively seek participants from other countries. We spoke recently with a community member in Edmonton who was invited to join a trial in Oregon precisely because her condition is so rare. How much this applies to you depends largely on your specific gene mutation and how common your condition is. If you’re interested in a particular trial, the best starting point is your retinal specialist.</w:t>
      </w:r>
    </w:p>
    <w:p w14:paraId="6178EE02" w14:textId="77777777" w:rsidR="00784C5F" w:rsidRDefault="00784C5F" w:rsidP="00784C5F">
      <w:pPr>
        <w:spacing w:after="80"/>
      </w:pPr>
    </w:p>
    <w:p w14:paraId="774FACAC" w14:textId="77777777" w:rsidR="00784C5F" w:rsidRDefault="00784C5F" w:rsidP="00784C5F">
      <w:pPr>
        <w:pStyle w:val="Heading2"/>
      </w:pPr>
      <w:r>
        <w:t>Q&amp;A: Why Do So Many Clinical Trials Not Reach Approval?</w:t>
      </w:r>
    </w:p>
    <w:p w14:paraId="46A03C8B" w14:textId="77777777" w:rsidR="00784C5F" w:rsidRDefault="00784C5F" w:rsidP="00784C5F">
      <w:pPr>
        <w:spacing w:after="120"/>
      </w:pPr>
      <w:r>
        <w:rPr>
          <w:b/>
          <w:bCs/>
        </w:rPr>
        <w:t xml:space="preserve">Audience member: </w:t>
      </w:r>
      <w:r>
        <w:t>It seems like many trials go to Phase 2 or 3 and then disappear. Why do so few treatments end up being approved?</w:t>
      </w:r>
    </w:p>
    <w:p w14:paraId="0C3F764B" w14:textId="77777777" w:rsidR="00784C5F" w:rsidRDefault="00784C5F" w:rsidP="00784C5F">
      <w:pPr>
        <w:spacing w:after="120"/>
      </w:pPr>
      <w:r>
        <w:rPr>
          <w:b/>
          <w:bCs/>
        </w:rPr>
        <w:t xml:space="preserve">Dr. Gareth Mercer: </w:t>
      </w:r>
      <w:r>
        <w:t xml:space="preserve">Overall, only about 10% of products that enter the clinical trials pipeline ever reach approval — and it may even be lower than that for inherited retinal diseases. Several things contribute to this. One is the financial challenge: these are rare conditions, and developing therapies is expensive. Some companies don’t see the financial justification for </w:t>
      </w:r>
      <w:r>
        <w:lastRenderedPageBreak/>
        <w:t>seeing a trial all the way through, even if early signals are encouraging. There have been treatments for IRDs that were studied in phase 2, showed promise, and were then dropped by their original company and had to be picked up by another. Others reach phase 3 and only then does it become apparent that the efficacy isn’t what was initially hoped.</w:t>
      </w:r>
    </w:p>
    <w:p w14:paraId="79A9CDE5" w14:textId="77777777" w:rsidR="00784C5F" w:rsidRDefault="00784C5F" w:rsidP="00784C5F">
      <w:pPr>
        <w:spacing w:after="120"/>
      </w:pPr>
      <w:r>
        <w:rPr>
          <w:b/>
          <w:bCs/>
        </w:rPr>
        <w:t xml:space="preserve">Dr. Larissa Moniz: </w:t>
      </w:r>
      <w:r>
        <w:t>There’s also an important nuance about how trials are designed for inherited retinal diseases specifically. These are rare conditions with slow, gradual vision loss. The endpoints — what the trial is measuring — haven’t always been well-matched to the nature of the disease. A trial designed to measure vision change over two years may not detect a meaningful effect if the disease actually progresses over ten years. There’s now significant international effort to work with regulators — particularly the FDA in the US and the EMA in Europe — to define more appropriate endpoints for IRD trials, so that treatments with a real benefit have a better chance of demonstrating it. This is a genuinely new field, and the groundwork being laid now will make future trials more likely to succeed.</w:t>
      </w:r>
    </w:p>
    <w:p w14:paraId="024CC24E" w14:textId="77777777" w:rsidR="00784C5F" w:rsidRDefault="00784C5F" w:rsidP="00784C5F">
      <w:pPr>
        <w:spacing w:after="80"/>
      </w:pPr>
    </w:p>
    <w:p w14:paraId="55C6E468" w14:textId="77777777" w:rsidR="00784C5F" w:rsidRDefault="00784C5F" w:rsidP="00784C5F">
      <w:pPr>
        <w:pStyle w:val="Heading2"/>
      </w:pPr>
      <w:r>
        <w:t>Q&amp;A: Anti-Aging Research and the Eye</w:t>
      </w:r>
    </w:p>
    <w:p w14:paraId="4A353ADB" w14:textId="77777777" w:rsidR="00784C5F" w:rsidRDefault="00784C5F" w:rsidP="00784C5F">
      <w:pPr>
        <w:spacing w:after="120"/>
      </w:pPr>
      <w:r>
        <w:rPr>
          <w:b/>
          <w:bCs/>
        </w:rPr>
        <w:t xml:space="preserve">Audience member: </w:t>
      </w:r>
      <w:r>
        <w:t>I saw something online about a Harvard researcher working on anti-aging therapies in mice, including reversing aging in the eye. Is this something you’ve heard about?</w:t>
      </w:r>
    </w:p>
    <w:p w14:paraId="771FC291" w14:textId="77777777" w:rsidR="00784C5F" w:rsidRDefault="00784C5F" w:rsidP="00784C5F">
      <w:pPr>
        <w:spacing w:after="120"/>
      </w:pPr>
      <w:r>
        <w:rPr>
          <w:b/>
          <w:bCs/>
        </w:rPr>
        <w:t xml:space="preserve">Dr. Gareth Mercer: </w:t>
      </w:r>
      <w:r>
        <w:t>I’m not closely familiar with that specific research. There has been work on telomeres — the ends of chromosomes, whose shortening is related to cellular aging — and some hope that slowing that process might allow tissues to keep regenerating for longer. But I don’t believe that has translated into any clinical therapies yet. One of the fundamental limitations of animal research is that what works in mice doesn’t always translate to humans. That’s not a reason to dismiss exciting ideas — it’s a reason to follow them carefully through the clinical trials process. I would also caution that people with conditions for which there are no treatments are particularly vulnerable to being misled by claims that haven’t been rigorously evaluated. Having a trusted physician who can help you evaluate what you read online is one of the most valuable things you can have.</w:t>
      </w:r>
    </w:p>
    <w:p w14:paraId="18781ACE" w14:textId="77777777" w:rsidR="00784C5F" w:rsidRDefault="00784C5F" w:rsidP="00784C5F">
      <w:pPr>
        <w:spacing w:after="80"/>
      </w:pPr>
    </w:p>
    <w:p w14:paraId="52A91A7D" w14:textId="77777777" w:rsidR="00784C5F" w:rsidRDefault="00784C5F" w:rsidP="00784C5F">
      <w:pPr>
        <w:pStyle w:val="Heading2"/>
      </w:pPr>
      <w:r>
        <w:t>Closing — Expert Session</w:t>
      </w:r>
    </w:p>
    <w:p w14:paraId="3C6A1C74" w14:textId="1B0787B2" w:rsidR="00784C5F" w:rsidRDefault="00784C5F" w:rsidP="00784C5F">
      <w:pPr>
        <w:spacing w:after="120"/>
      </w:pPr>
      <w:r>
        <w:rPr>
          <w:b/>
          <w:bCs/>
        </w:rPr>
        <w:t xml:space="preserve">Morgan Ineson: </w:t>
      </w:r>
      <w:r>
        <w:t xml:space="preserve">Thank you so much to Dr. Mercer and Dr. Moniz — that was a wonderful discussion. </w:t>
      </w:r>
    </w:p>
    <w:p w14:paraId="4DD26F52" w14:textId="77777777" w:rsidR="00784C5F" w:rsidRDefault="00784C5F" w:rsidP="00784C5F">
      <w:pPr>
        <w:spacing w:after="80"/>
      </w:pPr>
    </w:p>
    <w:p w14:paraId="51F4AD16" w14:textId="77777777" w:rsidR="00784C5F" w:rsidRDefault="00784C5F">
      <w:pPr>
        <w:spacing w:after="160" w:line="259" w:lineRule="auto"/>
        <w:rPr>
          <w:rFonts w:ascii="Gotham" w:eastAsiaTheme="majorEastAsia" w:hAnsi="Gotham" w:cstheme="majorBidi"/>
          <w:caps/>
          <w:color w:val="00236D"/>
          <w:sz w:val="32"/>
          <w:szCs w:val="32"/>
        </w:rPr>
      </w:pPr>
      <w:r>
        <w:br w:type="page"/>
      </w:r>
    </w:p>
    <w:p w14:paraId="1D058D2F" w14:textId="0AED702A" w:rsidR="00784C5F" w:rsidRDefault="00784C5F" w:rsidP="00784C5F">
      <w:pPr>
        <w:pStyle w:val="Heading1"/>
      </w:pPr>
      <w:r>
        <w:lastRenderedPageBreak/>
        <w:t>Part Two: Lived Experience</w:t>
      </w:r>
    </w:p>
    <w:p w14:paraId="7906093B" w14:textId="77777777" w:rsidR="00784C5F" w:rsidRDefault="00784C5F" w:rsidP="00784C5F">
      <w:pPr>
        <w:pStyle w:val="Heading2"/>
      </w:pPr>
      <w:r>
        <w:t>Introductions</w:t>
      </w:r>
    </w:p>
    <w:p w14:paraId="779D0F5F" w14:textId="77777777" w:rsidR="00784C5F" w:rsidRDefault="00784C5F" w:rsidP="00784C5F">
      <w:pPr>
        <w:spacing w:after="120"/>
      </w:pPr>
      <w:r>
        <w:rPr>
          <w:b/>
          <w:bCs/>
        </w:rPr>
        <w:t xml:space="preserve">Morgan Ineson: </w:t>
      </w:r>
      <w:r>
        <w:t>We’re now going to hear from two community members who are living with inherited retinal diseases. Dagmar Jamieson was diagnosed with a degenerative inherited retinal disease at age 13. She is a writer and author whose book Blind Visionaries and AI — exploring how technology enhances the lives of people with vision loss — was recognized by CBC as one of the top 50 most interesting books in Canada. Wayne Kostiuk was diagnosed with retinitis pigmentosa in the early 1980s following a routine eye exam and has been managing his condition for over 40 years. I’d like to start by asking each of you to share a little about your experience with diagnosis.</w:t>
      </w:r>
    </w:p>
    <w:p w14:paraId="5F63A1ED" w14:textId="77777777" w:rsidR="00784C5F" w:rsidRDefault="00784C5F" w:rsidP="00784C5F">
      <w:pPr>
        <w:spacing w:after="80"/>
      </w:pPr>
    </w:p>
    <w:p w14:paraId="0C47E907" w14:textId="77777777" w:rsidR="00784C5F" w:rsidRDefault="00784C5F" w:rsidP="00784C5F">
      <w:pPr>
        <w:pStyle w:val="Heading2"/>
      </w:pPr>
      <w:r>
        <w:t>Dagmar’s Story</w:t>
      </w:r>
    </w:p>
    <w:p w14:paraId="3DC3628C" w14:textId="77777777" w:rsidR="00784C5F" w:rsidRDefault="00784C5F" w:rsidP="00784C5F">
      <w:pPr>
        <w:spacing w:after="120"/>
      </w:pPr>
      <w:r>
        <w:rPr>
          <w:b/>
          <w:bCs/>
        </w:rPr>
        <w:t xml:space="preserve">Dagmar Jamieson: </w:t>
      </w:r>
      <w:r>
        <w:t>I was around 13 when I realized I couldn’t see the blackboard clearly. I went to an optometrist thinking I just needed glasses, and then was sent for more testing. When the ophthalmologist looked at me and said, ‘Glasses are not going to help you — you’re losing your sight,’ it was a shock. But I found that after the initial devastation, I could still do most things. I could ride my bicycle, ski, do gymnastics, figure skating — nobody really recognized that I was visually impaired, because I had enough peripheral vision. And so for many years, I kept this as a secret, which in hindsight was a mistake.</w:t>
      </w:r>
    </w:p>
    <w:p w14:paraId="0BA866C2" w14:textId="77777777" w:rsidR="00784C5F" w:rsidRDefault="00784C5F" w:rsidP="00784C5F">
      <w:pPr>
        <w:spacing w:after="120"/>
      </w:pPr>
      <w:r>
        <w:t>People thought I was either a snob or had dementia, because one day I’d recognize them and the next I’d walk right past them. One day a woman at a walk-in clinic saw me with my cane and said, ‘Oh, Dagmar, I had no idea — I thought you had dementia!’ That was when I realized: secrets are not healthy. Once people understand that you have a visual impairment, they open up, hold out their hand, and help in every way they can. So was it devastating at age 13? Yes. But I’m glad I stopped keeping it a secret.</w:t>
      </w:r>
    </w:p>
    <w:p w14:paraId="567AE868" w14:textId="77777777" w:rsidR="00784C5F" w:rsidRDefault="00784C5F" w:rsidP="00784C5F">
      <w:pPr>
        <w:spacing w:after="80"/>
      </w:pPr>
    </w:p>
    <w:p w14:paraId="4432C602" w14:textId="77777777" w:rsidR="00784C5F" w:rsidRDefault="00784C5F" w:rsidP="00784C5F">
      <w:pPr>
        <w:pStyle w:val="Heading2"/>
      </w:pPr>
      <w:r>
        <w:t>Wayne’s Story</w:t>
      </w:r>
    </w:p>
    <w:p w14:paraId="6AE3079A" w14:textId="77777777" w:rsidR="00784C5F" w:rsidRDefault="00784C5F" w:rsidP="00784C5F">
      <w:pPr>
        <w:spacing w:after="120"/>
      </w:pPr>
      <w:r>
        <w:rPr>
          <w:b/>
          <w:bCs/>
        </w:rPr>
        <w:t xml:space="preserve">Wayne Kostiuk: </w:t>
      </w:r>
      <w:r>
        <w:t>I’ve been managing my condition for over 40 years. I’m 72 now, and my vision has progressively declined to the point where I’m considered legally blind. I was diagnosed with retinitis pigmentosa in the early 1980s after a routine eye exam — I had no particular complaints. The optometrist adjusted himself in his chair, took a second look, and said, ‘I think I see something. I want you to see a specialist.’ After several appointments, it was confirmed: I had RP.</w:t>
      </w:r>
    </w:p>
    <w:p w14:paraId="22A786B9" w14:textId="77777777" w:rsidR="00784C5F" w:rsidRDefault="00784C5F" w:rsidP="00784C5F">
      <w:pPr>
        <w:spacing w:after="120"/>
      </w:pPr>
      <w:r>
        <w:t xml:space="preserve">Even looking back to childhood, I can see the signs were there. We’d go out at night and I couldn’t see well, while all my friends could. But it never really dawned on me at the time. I have a better understanding of it now. I’m legally blind and I’m learning that there’s a lot of </w:t>
      </w:r>
      <w:r>
        <w:lastRenderedPageBreak/>
        <w:t>technology out there — Be My Eyes, VoiceOver, screen readers — and I’m trying to keep up with it.</w:t>
      </w:r>
    </w:p>
    <w:p w14:paraId="0FE830B7" w14:textId="77777777" w:rsidR="00784C5F" w:rsidRDefault="00784C5F" w:rsidP="00784C5F">
      <w:pPr>
        <w:spacing w:after="80"/>
      </w:pPr>
    </w:p>
    <w:p w14:paraId="59A19739" w14:textId="77777777" w:rsidR="00784C5F" w:rsidRDefault="00784C5F" w:rsidP="00784C5F">
      <w:pPr>
        <w:pStyle w:val="Heading2"/>
      </w:pPr>
      <w:r>
        <w:t>Adaptive Tools and Technology</w:t>
      </w:r>
    </w:p>
    <w:p w14:paraId="27334F22" w14:textId="77777777" w:rsidR="00784C5F" w:rsidRDefault="00784C5F" w:rsidP="00784C5F">
      <w:pPr>
        <w:spacing w:after="120"/>
      </w:pPr>
      <w:r>
        <w:rPr>
          <w:b/>
          <w:bCs/>
        </w:rPr>
        <w:t xml:space="preserve">Morgan Ineson: </w:t>
      </w:r>
      <w:r>
        <w:t>What are some of your favourite tools, technologies, or adaptations that have made the biggest difference in your daily life? Dagmar, we’ll start with you.</w:t>
      </w:r>
    </w:p>
    <w:p w14:paraId="766F94A1" w14:textId="77777777" w:rsidR="00784C5F" w:rsidRDefault="00784C5F" w:rsidP="00784C5F">
      <w:pPr>
        <w:spacing w:after="120"/>
      </w:pPr>
      <w:r>
        <w:rPr>
          <w:b/>
          <w:bCs/>
        </w:rPr>
        <w:t xml:space="preserve">Dagmar Jamieson: </w:t>
      </w:r>
      <w:r>
        <w:t>Thirty years ago, technology was a dream — screen readers, speech to text, and all of it were just being talked about. Today, I use my iPhone with the VoiceOver feature, which took a little effort to learn but is now very intuitive. I Bluetooth it to a larger keyboard for longer writing. I also have my Meta Ray-Bans. I look in the mirror and say, ‘Hey Meta, what am I wearing?’ and it identifies the colours and patterns on my clothes. About three years ago, Seeing AI couldn’t reliably identify a yellow sweater — it would say white or gray. Today these tools are accurate and incredibly helpful. These technologies are changing exponentially.</w:t>
      </w:r>
    </w:p>
    <w:p w14:paraId="31A5D70E" w14:textId="77777777" w:rsidR="00784C5F" w:rsidRDefault="00784C5F" w:rsidP="00784C5F">
      <w:pPr>
        <w:spacing w:after="120"/>
      </w:pPr>
      <w:r>
        <w:t>Because the glasses are on your face, wherever you look, they take a picture and describe what’s in front of you. I can walk into a restaurant and have the menu read to me. Last week it was describing the wine list and going online to get tasting notes that the waitress didn’t even know. For navigation, Be My Eyes connects me to a real person on the other end who can see through my camera and guide me. And with large language models, ChatGPT, and Echo, I can write — I love writing, I’ve taken creative writing courses — and have humanoid voices read back to me so I can understand what I’ve written. All of this has led to my book, Blind Visionaries and AI, which I co-edited with Mark Raleigh. It features nine authors with various eye diseases talking about how technology and AI enhances their lives. It’s available on Audible, Libby, Kindle, and epub, and at Indigo and Owl’s Nest.</w:t>
      </w:r>
    </w:p>
    <w:p w14:paraId="42380396" w14:textId="77777777" w:rsidR="00784C5F" w:rsidRDefault="00784C5F" w:rsidP="00784C5F">
      <w:pPr>
        <w:spacing w:after="120"/>
      </w:pPr>
      <w:r>
        <w:rPr>
          <w:b/>
          <w:bCs/>
        </w:rPr>
        <w:t xml:space="preserve">Morgan Ineson: </w:t>
      </w:r>
      <w:r>
        <w:t>Dr. Jiraj also showed us an app called Sight Assist — S-I-G-H-T Assist — available free on the Apple App Store. It describes what your camera sees, has a built-in magnifier, and on iPhone Pro uses LIDAR to help gauge distances.</w:t>
      </w:r>
    </w:p>
    <w:p w14:paraId="79EE609D" w14:textId="77777777" w:rsidR="00784C5F" w:rsidRDefault="00784C5F" w:rsidP="00784C5F">
      <w:pPr>
        <w:spacing w:after="120"/>
      </w:pPr>
      <w:r>
        <w:rPr>
          <w:b/>
          <w:bCs/>
        </w:rPr>
        <w:t xml:space="preserve">Wayne Kostiuk: </w:t>
      </w:r>
      <w:r>
        <w:t>I’m a bit more in the Stone Age compared to Dagmar! Earlier on I used magnifying glasses, and through CNIB I found a desktop magnifier that I still use a lot for reading letters and documents. I’m just starting to get into VoiceOver, Be My Eyes, and ChatGPT — it’s one step at a time, but every time you learn something new it feels like a new day. Seeing AI has been helpful for me, with volunteers available to walk you through how to use it.</w:t>
      </w:r>
    </w:p>
    <w:p w14:paraId="48FD600B" w14:textId="77777777" w:rsidR="00784C5F" w:rsidRDefault="00784C5F" w:rsidP="00784C5F">
      <w:pPr>
        <w:spacing w:after="120"/>
      </w:pPr>
      <w:r>
        <w:t xml:space="preserve">I also keep my home well-lit — especially important now that seeing in low light is harder. And my cane: I had one for a while but was embarrassed to use it. I’d take it to the corner and back, still mostly able to see but just having it with me. It made a world of difference. People in the grocery store move out of your way. People see that you’re visually impaired and help you. </w:t>
      </w:r>
      <w:r>
        <w:lastRenderedPageBreak/>
        <w:t>Without it, if you bump into someone, they might think you’re not paying attention or something worse. Now I don’t leave the house without it. It’s become a comfort.</w:t>
      </w:r>
    </w:p>
    <w:p w14:paraId="3B5A6D53" w14:textId="77777777" w:rsidR="00784C5F" w:rsidRDefault="00784C5F" w:rsidP="00784C5F">
      <w:pPr>
        <w:spacing w:after="80"/>
      </w:pPr>
    </w:p>
    <w:p w14:paraId="1720CF23" w14:textId="77777777" w:rsidR="00784C5F" w:rsidRDefault="00784C5F" w:rsidP="00784C5F">
      <w:pPr>
        <w:pStyle w:val="Heading2"/>
      </w:pPr>
      <w:r>
        <w:t>Q&amp;A: Advice for Parents with Vision Loss Raising Sighted Children</w:t>
      </w:r>
    </w:p>
    <w:p w14:paraId="60B73E37" w14:textId="77777777" w:rsidR="00784C5F" w:rsidRDefault="00784C5F" w:rsidP="00784C5F">
      <w:pPr>
        <w:spacing w:after="120"/>
      </w:pPr>
      <w:r>
        <w:rPr>
          <w:b/>
          <w:bCs/>
        </w:rPr>
        <w:t xml:space="preserve">Audience member: </w:t>
      </w:r>
      <w:r>
        <w:t>Do you have any advice for parents who are visually impaired with sighted children?</w:t>
      </w:r>
    </w:p>
    <w:p w14:paraId="70DAAF46" w14:textId="77777777" w:rsidR="00784C5F" w:rsidRDefault="00784C5F" w:rsidP="00784C5F">
      <w:pPr>
        <w:spacing w:after="120"/>
      </w:pPr>
      <w:r>
        <w:rPr>
          <w:b/>
          <w:bCs/>
        </w:rPr>
        <w:t xml:space="preserve">Wayne Kostiuk: </w:t>
      </w:r>
      <w:r>
        <w:t>Be patient. Have a positive attitude. I have a really good relationship with my daughter and close family who give me a lot of support — transportation, shopping, travel. I’ve been able to travel extensively with friends and family. It can be frustrating for her sometimes too, but we make the best of it. And I’m optimistic that one day I’ll be able to see again. There’s a lot of research happening, and I keep that hope alive for myself and my family.</w:t>
      </w:r>
    </w:p>
    <w:p w14:paraId="108314D5" w14:textId="77777777" w:rsidR="00784C5F" w:rsidRDefault="00784C5F" w:rsidP="00784C5F">
      <w:pPr>
        <w:spacing w:after="120"/>
      </w:pPr>
      <w:r>
        <w:rPr>
          <w:b/>
          <w:bCs/>
        </w:rPr>
        <w:t xml:space="preserve">Dagmar Jamieson: </w:t>
      </w:r>
      <w:r>
        <w:t>My son is 27 now. My father once said to me that my not being able to see was actually a benefit for him. We were sitting in a park with five other mothers, and every time the children fell or bumped into something, they’d look to their parents. My son would just get up and deal with it. My father said, ‘You don’t helicopter him — and that’s led him to become an independent man.’ My dream is first the technology — which is already transforming my life — and second, that my sight will be restored, even partially. But in the meantime: don’t coddle your children.</w:t>
      </w:r>
    </w:p>
    <w:p w14:paraId="0FC2E15C" w14:textId="77777777" w:rsidR="00784C5F" w:rsidRDefault="00784C5F" w:rsidP="00784C5F">
      <w:pPr>
        <w:spacing w:after="80"/>
      </w:pPr>
    </w:p>
    <w:p w14:paraId="424C3FD1" w14:textId="77777777" w:rsidR="00784C5F" w:rsidRDefault="00784C5F" w:rsidP="00784C5F">
      <w:pPr>
        <w:pStyle w:val="Heading2"/>
      </w:pPr>
      <w:r>
        <w:t>Closing</w:t>
      </w:r>
    </w:p>
    <w:p w14:paraId="02391404" w14:textId="54FC8676" w:rsidR="00784C5F" w:rsidRDefault="00784C5F" w:rsidP="00784C5F">
      <w:pPr>
        <w:spacing w:after="120"/>
      </w:pPr>
      <w:r>
        <w:rPr>
          <w:b/>
          <w:bCs/>
        </w:rPr>
        <w:t xml:space="preserve">Morgan Ineson: </w:t>
      </w:r>
      <w:r>
        <w:t>Thank you so much to Dagmar and Wayne for sharing your stories and your wisdom. If you have any questions that weren’t answered, please reach out to us at healthinfo@fightingblindness.ca. We also have a new IRD webinar coming up on May 20 featuring Dr. Brian Ballios in Toronto, with an online peer support component.</w:t>
      </w:r>
    </w:p>
    <w:p w14:paraId="7F95F76E" w14:textId="5274F33F" w:rsidR="4875D3CD" w:rsidRDefault="4875D3CD" w:rsidP="4875D3CD">
      <w:pPr>
        <w:rPr>
          <w:rFonts w:ascii="Aptos" w:eastAsia="Aptos" w:hAnsi="Aptos" w:cs="Aptos"/>
          <w:color w:val="auto"/>
        </w:rPr>
      </w:pPr>
    </w:p>
    <w:sectPr w:rsidR="4875D3CD"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9B347" w14:textId="77777777" w:rsidR="0045167A" w:rsidRDefault="0045167A" w:rsidP="000B1565">
      <w:r>
        <w:separator/>
      </w:r>
    </w:p>
  </w:endnote>
  <w:endnote w:type="continuationSeparator" w:id="0">
    <w:p w14:paraId="4EF0786C" w14:textId="77777777" w:rsidR="0045167A" w:rsidRDefault="0045167A"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2C697" w14:textId="77777777" w:rsidR="0045167A" w:rsidRDefault="0045167A" w:rsidP="000B1565">
      <w:r>
        <w:separator/>
      </w:r>
    </w:p>
  </w:footnote>
  <w:footnote w:type="continuationSeparator" w:id="0">
    <w:p w14:paraId="3355DA66" w14:textId="77777777" w:rsidR="0045167A" w:rsidRDefault="0045167A"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F72CD7C2"/>
    <w:lvl w:ilvl="0" w:tplc="A9B4088C">
      <w:start w:val="1"/>
      <w:numFmt w:val="bullet"/>
      <w:lvlText w:val="·"/>
      <w:lvlJc w:val="left"/>
      <w:pPr>
        <w:ind w:left="720" w:hanging="360"/>
      </w:pPr>
      <w:rPr>
        <w:rFonts w:ascii="Symbol" w:hAnsi="Symbol" w:hint="default"/>
      </w:rPr>
    </w:lvl>
    <w:lvl w:ilvl="1" w:tplc="29B8ED42">
      <w:start w:val="1"/>
      <w:numFmt w:val="bullet"/>
      <w:lvlText w:val="o"/>
      <w:lvlJc w:val="left"/>
      <w:pPr>
        <w:ind w:left="1440" w:hanging="360"/>
      </w:pPr>
      <w:rPr>
        <w:rFonts w:ascii="Courier New" w:hAnsi="Courier New" w:hint="default"/>
      </w:rPr>
    </w:lvl>
    <w:lvl w:ilvl="2" w:tplc="BD70F722">
      <w:start w:val="1"/>
      <w:numFmt w:val="bullet"/>
      <w:lvlText w:val=""/>
      <w:lvlJc w:val="left"/>
      <w:pPr>
        <w:ind w:left="2160" w:hanging="360"/>
      </w:pPr>
      <w:rPr>
        <w:rFonts w:ascii="Wingdings" w:hAnsi="Wingdings" w:hint="default"/>
      </w:rPr>
    </w:lvl>
    <w:lvl w:ilvl="3" w:tplc="5C082550">
      <w:start w:val="1"/>
      <w:numFmt w:val="bullet"/>
      <w:lvlText w:val=""/>
      <w:lvlJc w:val="left"/>
      <w:pPr>
        <w:ind w:left="2880" w:hanging="360"/>
      </w:pPr>
      <w:rPr>
        <w:rFonts w:ascii="Symbol" w:hAnsi="Symbol" w:hint="default"/>
      </w:rPr>
    </w:lvl>
    <w:lvl w:ilvl="4" w:tplc="B08C6082">
      <w:start w:val="1"/>
      <w:numFmt w:val="bullet"/>
      <w:lvlText w:val="o"/>
      <w:lvlJc w:val="left"/>
      <w:pPr>
        <w:ind w:left="3600" w:hanging="360"/>
      </w:pPr>
      <w:rPr>
        <w:rFonts w:ascii="Courier New" w:hAnsi="Courier New" w:hint="default"/>
      </w:rPr>
    </w:lvl>
    <w:lvl w:ilvl="5" w:tplc="E626D2A2">
      <w:start w:val="1"/>
      <w:numFmt w:val="bullet"/>
      <w:lvlText w:val=""/>
      <w:lvlJc w:val="left"/>
      <w:pPr>
        <w:ind w:left="4320" w:hanging="360"/>
      </w:pPr>
      <w:rPr>
        <w:rFonts w:ascii="Wingdings" w:hAnsi="Wingdings" w:hint="default"/>
      </w:rPr>
    </w:lvl>
    <w:lvl w:ilvl="6" w:tplc="4ECA2F00">
      <w:start w:val="1"/>
      <w:numFmt w:val="bullet"/>
      <w:lvlText w:val=""/>
      <w:lvlJc w:val="left"/>
      <w:pPr>
        <w:ind w:left="5040" w:hanging="360"/>
      </w:pPr>
      <w:rPr>
        <w:rFonts w:ascii="Symbol" w:hAnsi="Symbol" w:hint="default"/>
      </w:rPr>
    </w:lvl>
    <w:lvl w:ilvl="7" w:tplc="7952C0C6">
      <w:start w:val="1"/>
      <w:numFmt w:val="bullet"/>
      <w:lvlText w:val="o"/>
      <w:lvlJc w:val="left"/>
      <w:pPr>
        <w:ind w:left="5760" w:hanging="360"/>
      </w:pPr>
      <w:rPr>
        <w:rFonts w:ascii="Courier New" w:hAnsi="Courier New" w:hint="default"/>
      </w:rPr>
    </w:lvl>
    <w:lvl w:ilvl="8" w:tplc="E060452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F438B69A"/>
    <w:lvl w:ilvl="0" w:tplc="A350A18C">
      <w:start w:val="1"/>
      <w:numFmt w:val="bullet"/>
      <w:lvlText w:val=""/>
      <w:lvlJc w:val="left"/>
      <w:pPr>
        <w:ind w:left="720" w:hanging="360"/>
      </w:pPr>
      <w:rPr>
        <w:rFonts w:ascii="Symbol" w:hAnsi="Symbol" w:hint="default"/>
      </w:rPr>
    </w:lvl>
    <w:lvl w:ilvl="1" w:tplc="E4ECC1A2">
      <w:start w:val="1"/>
      <w:numFmt w:val="bullet"/>
      <w:lvlText w:val="o"/>
      <w:lvlJc w:val="left"/>
      <w:pPr>
        <w:ind w:left="1440" w:hanging="360"/>
      </w:pPr>
      <w:rPr>
        <w:rFonts w:ascii="Courier New" w:hAnsi="Courier New" w:hint="default"/>
      </w:rPr>
    </w:lvl>
    <w:lvl w:ilvl="2" w:tplc="1D94FB3A">
      <w:start w:val="1"/>
      <w:numFmt w:val="bullet"/>
      <w:lvlText w:val=""/>
      <w:lvlJc w:val="left"/>
      <w:pPr>
        <w:ind w:left="2160" w:hanging="360"/>
      </w:pPr>
      <w:rPr>
        <w:rFonts w:ascii="Wingdings" w:hAnsi="Wingdings" w:hint="default"/>
      </w:rPr>
    </w:lvl>
    <w:lvl w:ilvl="3" w:tplc="9A2C044A">
      <w:start w:val="1"/>
      <w:numFmt w:val="bullet"/>
      <w:lvlText w:val=""/>
      <w:lvlJc w:val="left"/>
      <w:pPr>
        <w:ind w:left="2880" w:hanging="360"/>
      </w:pPr>
      <w:rPr>
        <w:rFonts w:ascii="Symbol" w:hAnsi="Symbol" w:hint="default"/>
      </w:rPr>
    </w:lvl>
    <w:lvl w:ilvl="4" w:tplc="E0966DA2">
      <w:start w:val="1"/>
      <w:numFmt w:val="bullet"/>
      <w:lvlText w:val="o"/>
      <w:lvlJc w:val="left"/>
      <w:pPr>
        <w:ind w:left="3600" w:hanging="360"/>
      </w:pPr>
      <w:rPr>
        <w:rFonts w:ascii="Courier New" w:hAnsi="Courier New" w:hint="default"/>
      </w:rPr>
    </w:lvl>
    <w:lvl w:ilvl="5" w:tplc="4F04AC0A">
      <w:start w:val="1"/>
      <w:numFmt w:val="bullet"/>
      <w:lvlText w:val=""/>
      <w:lvlJc w:val="left"/>
      <w:pPr>
        <w:ind w:left="4320" w:hanging="360"/>
      </w:pPr>
      <w:rPr>
        <w:rFonts w:ascii="Wingdings" w:hAnsi="Wingdings" w:hint="default"/>
      </w:rPr>
    </w:lvl>
    <w:lvl w:ilvl="6" w:tplc="92600512">
      <w:start w:val="1"/>
      <w:numFmt w:val="bullet"/>
      <w:lvlText w:val=""/>
      <w:lvlJc w:val="left"/>
      <w:pPr>
        <w:ind w:left="5040" w:hanging="360"/>
      </w:pPr>
      <w:rPr>
        <w:rFonts w:ascii="Symbol" w:hAnsi="Symbol" w:hint="default"/>
      </w:rPr>
    </w:lvl>
    <w:lvl w:ilvl="7" w:tplc="FA645F42">
      <w:start w:val="1"/>
      <w:numFmt w:val="bullet"/>
      <w:lvlText w:val="o"/>
      <w:lvlJc w:val="left"/>
      <w:pPr>
        <w:ind w:left="5760" w:hanging="360"/>
      </w:pPr>
      <w:rPr>
        <w:rFonts w:ascii="Courier New" w:hAnsi="Courier New" w:hint="default"/>
      </w:rPr>
    </w:lvl>
    <w:lvl w:ilvl="8" w:tplc="FE884DD4">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578E486A"/>
    <w:lvl w:ilvl="0" w:tplc="64AC8F94">
      <w:start w:val="1"/>
      <w:numFmt w:val="bullet"/>
      <w:lvlText w:val="·"/>
      <w:lvlJc w:val="left"/>
      <w:pPr>
        <w:ind w:left="720" w:hanging="360"/>
      </w:pPr>
      <w:rPr>
        <w:rFonts w:ascii="Symbol" w:hAnsi="Symbol" w:hint="default"/>
      </w:rPr>
    </w:lvl>
    <w:lvl w:ilvl="1" w:tplc="B6DCC8EC">
      <w:start w:val="1"/>
      <w:numFmt w:val="bullet"/>
      <w:lvlText w:val="o"/>
      <w:lvlJc w:val="left"/>
      <w:pPr>
        <w:ind w:left="1440" w:hanging="360"/>
      </w:pPr>
      <w:rPr>
        <w:rFonts w:ascii="Courier New" w:hAnsi="Courier New" w:hint="default"/>
      </w:rPr>
    </w:lvl>
    <w:lvl w:ilvl="2" w:tplc="AECEA442">
      <w:start w:val="1"/>
      <w:numFmt w:val="bullet"/>
      <w:lvlText w:val=""/>
      <w:lvlJc w:val="left"/>
      <w:pPr>
        <w:ind w:left="2160" w:hanging="360"/>
      </w:pPr>
      <w:rPr>
        <w:rFonts w:ascii="Wingdings" w:hAnsi="Wingdings" w:hint="default"/>
      </w:rPr>
    </w:lvl>
    <w:lvl w:ilvl="3" w:tplc="29505E10">
      <w:start w:val="1"/>
      <w:numFmt w:val="bullet"/>
      <w:lvlText w:val=""/>
      <w:lvlJc w:val="left"/>
      <w:pPr>
        <w:ind w:left="2880" w:hanging="360"/>
      </w:pPr>
      <w:rPr>
        <w:rFonts w:ascii="Symbol" w:hAnsi="Symbol" w:hint="default"/>
      </w:rPr>
    </w:lvl>
    <w:lvl w:ilvl="4" w:tplc="F6DE2A92">
      <w:start w:val="1"/>
      <w:numFmt w:val="bullet"/>
      <w:lvlText w:val="o"/>
      <w:lvlJc w:val="left"/>
      <w:pPr>
        <w:ind w:left="3600" w:hanging="360"/>
      </w:pPr>
      <w:rPr>
        <w:rFonts w:ascii="Courier New" w:hAnsi="Courier New" w:hint="default"/>
      </w:rPr>
    </w:lvl>
    <w:lvl w:ilvl="5" w:tplc="6A7A39E0">
      <w:start w:val="1"/>
      <w:numFmt w:val="bullet"/>
      <w:lvlText w:val=""/>
      <w:lvlJc w:val="left"/>
      <w:pPr>
        <w:ind w:left="4320" w:hanging="360"/>
      </w:pPr>
      <w:rPr>
        <w:rFonts w:ascii="Wingdings" w:hAnsi="Wingdings" w:hint="default"/>
      </w:rPr>
    </w:lvl>
    <w:lvl w:ilvl="6" w:tplc="9650E5DE">
      <w:start w:val="1"/>
      <w:numFmt w:val="bullet"/>
      <w:lvlText w:val=""/>
      <w:lvlJc w:val="left"/>
      <w:pPr>
        <w:ind w:left="5040" w:hanging="360"/>
      </w:pPr>
      <w:rPr>
        <w:rFonts w:ascii="Symbol" w:hAnsi="Symbol" w:hint="default"/>
      </w:rPr>
    </w:lvl>
    <w:lvl w:ilvl="7" w:tplc="104EC2D0">
      <w:start w:val="1"/>
      <w:numFmt w:val="bullet"/>
      <w:lvlText w:val="o"/>
      <w:lvlJc w:val="left"/>
      <w:pPr>
        <w:ind w:left="5760" w:hanging="360"/>
      </w:pPr>
      <w:rPr>
        <w:rFonts w:ascii="Courier New" w:hAnsi="Courier New" w:hint="default"/>
      </w:rPr>
    </w:lvl>
    <w:lvl w:ilvl="8" w:tplc="527E2BC4">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9C0AB300"/>
    <w:lvl w:ilvl="0" w:tplc="B936CE16">
      <w:start w:val="1"/>
      <w:numFmt w:val="bullet"/>
      <w:lvlText w:val=""/>
      <w:lvlJc w:val="left"/>
      <w:pPr>
        <w:ind w:left="720" w:hanging="360"/>
      </w:pPr>
      <w:rPr>
        <w:rFonts w:ascii="Symbol" w:hAnsi="Symbol" w:hint="default"/>
      </w:rPr>
    </w:lvl>
    <w:lvl w:ilvl="1" w:tplc="C204AD88">
      <w:start w:val="1"/>
      <w:numFmt w:val="bullet"/>
      <w:lvlText w:val="o"/>
      <w:lvlJc w:val="left"/>
      <w:pPr>
        <w:ind w:left="1440" w:hanging="360"/>
      </w:pPr>
      <w:rPr>
        <w:rFonts w:ascii="Courier New" w:hAnsi="Courier New" w:hint="default"/>
      </w:rPr>
    </w:lvl>
    <w:lvl w:ilvl="2" w:tplc="A5C4EE12">
      <w:start w:val="1"/>
      <w:numFmt w:val="bullet"/>
      <w:lvlText w:val=""/>
      <w:lvlJc w:val="left"/>
      <w:pPr>
        <w:ind w:left="2160" w:hanging="360"/>
      </w:pPr>
      <w:rPr>
        <w:rFonts w:ascii="Wingdings" w:hAnsi="Wingdings" w:hint="default"/>
      </w:rPr>
    </w:lvl>
    <w:lvl w:ilvl="3" w:tplc="C1DEE176">
      <w:start w:val="1"/>
      <w:numFmt w:val="bullet"/>
      <w:lvlText w:val=""/>
      <w:lvlJc w:val="left"/>
      <w:pPr>
        <w:ind w:left="2880" w:hanging="360"/>
      </w:pPr>
      <w:rPr>
        <w:rFonts w:ascii="Symbol" w:hAnsi="Symbol" w:hint="default"/>
      </w:rPr>
    </w:lvl>
    <w:lvl w:ilvl="4" w:tplc="EBDA9B32">
      <w:start w:val="1"/>
      <w:numFmt w:val="bullet"/>
      <w:lvlText w:val="o"/>
      <w:lvlJc w:val="left"/>
      <w:pPr>
        <w:ind w:left="3600" w:hanging="360"/>
      </w:pPr>
      <w:rPr>
        <w:rFonts w:ascii="Courier New" w:hAnsi="Courier New" w:hint="default"/>
      </w:rPr>
    </w:lvl>
    <w:lvl w:ilvl="5" w:tplc="72F4623C">
      <w:start w:val="1"/>
      <w:numFmt w:val="bullet"/>
      <w:lvlText w:val=""/>
      <w:lvlJc w:val="left"/>
      <w:pPr>
        <w:ind w:left="4320" w:hanging="360"/>
      </w:pPr>
      <w:rPr>
        <w:rFonts w:ascii="Wingdings" w:hAnsi="Wingdings" w:hint="default"/>
      </w:rPr>
    </w:lvl>
    <w:lvl w:ilvl="6" w:tplc="01546EB4">
      <w:start w:val="1"/>
      <w:numFmt w:val="bullet"/>
      <w:lvlText w:val=""/>
      <w:lvlJc w:val="left"/>
      <w:pPr>
        <w:ind w:left="5040" w:hanging="360"/>
      </w:pPr>
      <w:rPr>
        <w:rFonts w:ascii="Symbol" w:hAnsi="Symbol" w:hint="default"/>
      </w:rPr>
    </w:lvl>
    <w:lvl w:ilvl="7" w:tplc="521A32DA">
      <w:start w:val="1"/>
      <w:numFmt w:val="bullet"/>
      <w:lvlText w:val="o"/>
      <w:lvlJc w:val="left"/>
      <w:pPr>
        <w:ind w:left="5760" w:hanging="360"/>
      </w:pPr>
      <w:rPr>
        <w:rFonts w:ascii="Courier New" w:hAnsi="Courier New" w:hint="default"/>
      </w:rPr>
    </w:lvl>
    <w:lvl w:ilvl="8" w:tplc="56E2AD66">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A8704272"/>
    <w:lvl w:ilvl="0" w:tplc="5DE22C8A">
      <w:start w:val="1"/>
      <w:numFmt w:val="bullet"/>
      <w:lvlText w:val="·"/>
      <w:lvlJc w:val="left"/>
      <w:pPr>
        <w:ind w:left="720" w:hanging="360"/>
      </w:pPr>
      <w:rPr>
        <w:rFonts w:ascii="Symbol" w:hAnsi="Symbol" w:hint="default"/>
      </w:rPr>
    </w:lvl>
    <w:lvl w:ilvl="1" w:tplc="329AC2DE">
      <w:start w:val="1"/>
      <w:numFmt w:val="bullet"/>
      <w:lvlText w:val="o"/>
      <w:lvlJc w:val="left"/>
      <w:pPr>
        <w:ind w:left="1440" w:hanging="360"/>
      </w:pPr>
      <w:rPr>
        <w:rFonts w:ascii="Courier New" w:hAnsi="Courier New" w:hint="default"/>
      </w:rPr>
    </w:lvl>
    <w:lvl w:ilvl="2" w:tplc="45007FEE">
      <w:start w:val="1"/>
      <w:numFmt w:val="bullet"/>
      <w:lvlText w:val=""/>
      <w:lvlJc w:val="left"/>
      <w:pPr>
        <w:ind w:left="2160" w:hanging="360"/>
      </w:pPr>
      <w:rPr>
        <w:rFonts w:ascii="Wingdings" w:hAnsi="Wingdings" w:hint="default"/>
      </w:rPr>
    </w:lvl>
    <w:lvl w:ilvl="3" w:tplc="5300B812">
      <w:start w:val="1"/>
      <w:numFmt w:val="bullet"/>
      <w:lvlText w:val=""/>
      <w:lvlJc w:val="left"/>
      <w:pPr>
        <w:ind w:left="2880" w:hanging="360"/>
      </w:pPr>
      <w:rPr>
        <w:rFonts w:ascii="Symbol" w:hAnsi="Symbol" w:hint="default"/>
      </w:rPr>
    </w:lvl>
    <w:lvl w:ilvl="4" w:tplc="355433DA">
      <w:start w:val="1"/>
      <w:numFmt w:val="bullet"/>
      <w:lvlText w:val="o"/>
      <w:lvlJc w:val="left"/>
      <w:pPr>
        <w:ind w:left="3600" w:hanging="360"/>
      </w:pPr>
      <w:rPr>
        <w:rFonts w:ascii="Courier New" w:hAnsi="Courier New" w:hint="default"/>
      </w:rPr>
    </w:lvl>
    <w:lvl w:ilvl="5" w:tplc="AE3CA4D8">
      <w:start w:val="1"/>
      <w:numFmt w:val="bullet"/>
      <w:lvlText w:val=""/>
      <w:lvlJc w:val="left"/>
      <w:pPr>
        <w:ind w:left="4320" w:hanging="360"/>
      </w:pPr>
      <w:rPr>
        <w:rFonts w:ascii="Wingdings" w:hAnsi="Wingdings" w:hint="default"/>
      </w:rPr>
    </w:lvl>
    <w:lvl w:ilvl="6" w:tplc="9F9C972A">
      <w:start w:val="1"/>
      <w:numFmt w:val="bullet"/>
      <w:lvlText w:val=""/>
      <w:lvlJc w:val="left"/>
      <w:pPr>
        <w:ind w:left="5040" w:hanging="360"/>
      </w:pPr>
      <w:rPr>
        <w:rFonts w:ascii="Symbol" w:hAnsi="Symbol" w:hint="default"/>
      </w:rPr>
    </w:lvl>
    <w:lvl w:ilvl="7" w:tplc="C52842FE">
      <w:start w:val="1"/>
      <w:numFmt w:val="bullet"/>
      <w:lvlText w:val="o"/>
      <w:lvlJc w:val="left"/>
      <w:pPr>
        <w:ind w:left="5760" w:hanging="360"/>
      </w:pPr>
      <w:rPr>
        <w:rFonts w:ascii="Courier New" w:hAnsi="Courier New" w:hint="default"/>
      </w:rPr>
    </w:lvl>
    <w:lvl w:ilvl="8" w:tplc="99DE71DA">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B6ABAD"/>
    <w:multiLevelType w:val="hybridMultilevel"/>
    <w:tmpl w:val="E09AF32A"/>
    <w:lvl w:ilvl="0" w:tplc="58424E5E">
      <w:start w:val="1"/>
      <w:numFmt w:val="bullet"/>
      <w:lvlText w:val=""/>
      <w:lvlJc w:val="left"/>
      <w:pPr>
        <w:ind w:left="720" w:hanging="360"/>
      </w:pPr>
      <w:rPr>
        <w:rFonts w:ascii="Symbol" w:hAnsi="Symbol" w:hint="default"/>
      </w:rPr>
    </w:lvl>
    <w:lvl w:ilvl="1" w:tplc="D40C5228">
      <w:start w:val="1"/>
      <w:numFmt w:val="bullet"/>
      <w:lvlText w:val="o"/>
      <w:lvlJc w:val="left"/>
      <w:pPr>
        <w:ind w:left="1440" w:hanging="360"/>
      </w:pPr>
      <w:rPr>
        <w:rFonts w:ascii="Courier New" w:hAnsi="Courier New" w:hint="default"/>
      </w:rPr>
    </w:lvl>
    <w:lvl w:ilvl="2" w:tplc="4E7C3FAC">
      <w:start w:val="1"/>
      <w:numFmt w:val="bullet"/>
      <w:lvlText w:val=""/>
      <w:lvlJc w:val="left"/>
      <w:pPr>
        <w:ind w:left="2160" w:hanging="360"/>
      </w:pPr>
      <w:rPr>
        <w:rFonts w:ascii="Wingdings" w:hAnsi="Wingdings" w:hint="default"/>
      </w:rPr>
    </w:lvl>
    <w:lvl w:ilvl="3" w:tplc="24DC95B2">
      <w:start w:val="1"/>
      <w:numFmt w:val="bullet"/>
      <w:lvlText w:val=""/>
      <w:lvlJc w:val="left"/>
      <w:pPr>
        <w:ind w:left="2880" w:hanging="360"/>
      </w:pPr>
      <w:rPr>
        <w:rFonts w:ascii="Symbol" w:hAnsi="Symbol" w:hint="default"/>
      </w:rPr>
    </w:lvl>
    <w:lvl w:ilvl="4" w:tplc="736441B0">
      <w:start w:val="1"/>
      <w:numFmt w:val="bullet"/>
      <w:lvlText w:val="o"/>
      <w:lvlJc w:val="left"/>
      <w:pPr>
        <w:ind w:left="3600" w:hanging="360"/>
      </w:pPr>
      <w:rPr>
        <w:rFonts w:ascii="Courier New" w:hAnsi="Courier New" w:hint="default"/>
      </w:rPr>
    </w:lvl>
    <w:lvl w:ilvl="5" w:tplc="73924BE0">
      <w:start w:val="1"/>
      <w:numFmt w:val="bullet"/>
      <w:lvlText w:val=""/>
      <w:lvlJc w:val="left"/>
      <w:pPr>
        <w:ind w:left="4320" w:hanging="360"/>
      </w:pPr>
      <w:rPr>
        <w:rFonts w:ascii="Wingdings" w:hAnsi="Wingdings" w:hint="default"/>
      </w:rPr>
    </w:lvl>
    <w:lvl w:ilvl="6" w:tplc="56DE16AA">
      <w:start w:val="1"/>
      <w:numFmt w:val="bullet"/>
      <w:lvlText w:val=""/>
      <w:lvlJc w:val="left"/>
      <w:pPr>
        <w:ind w:left="5040" w:hanging="360"/>
      </w:pPr>
      <w:rPr>
        <w:rFonts w:ascii="Symbol" w:hAnsi="Symbol" w:hint="default"/>
      </w:rPr>
    </w:lvl>
    <w:lvl w:ilvl="7" w:tplc="CB448696">
      <w:start w:val="1"/>
      <w:numFmt w:val="bullet"/>
      <w:lvlText w:val="o"/>
      <w:lvlJc w:val="left"/>
      <w:pPr>
        <w:ind w:left="5760" w:hanging="360"/>
      </w:pPr>
      <w:rPr>
        <w:rFonts w:ascii="Courier New" w:hAnsi="Courier New" w:hint="default"/>
      </w:rPr>
    </w:lvl>
    <w:lvl w:ilvl="8" w:tplc="A4BC28A6">
      <w:start w:val="1"/>
      <w:numFmt w:val="bullet"/>
      <w:lvlText w:val=""/>
      <w:lvlJc w:val="left"/>
      <w:pPr>
        <w:ind w:left="6480" w:hanging="360"/>
      </w:pPr>
      <w:rPr>
        <w:rFonts w:ascii="Wingdings" w:hAnsi="Wingdings" w:hint="default"/>
      </w:rPr>
    </w:lvl>
  </w:abstractNum>
  <w:abstractNum w:abstractNumId="55" w15:restartNumberingAfterBreak="0">
    <w:nsid w:val="66016B95"/>
    <w:multiLevelType w:val="hybridMultilevel"/>
    <w:tmpl w:val="5D82DAC0"/>
    <w:lvl w:ilvl="0" w:tplc="9150115A">
      <w:start w:val="1"/>
      <w:numFmt w:val="bullet"/>
      <w:lvlText w:val="·"/>
      <w:lvlJc w:val="left"/>
      <w:pPr>
        <w:ind w:left="720" w:hanging="360"/>
      </w:pPr>
      <w:rPr>
        <w:rFonts w:ascii="Symbol" w:hAnsi="Symbol" w:hint="default"/>
      </w:rPr>
    </w:lvl>
    <w:lvl w:ilvl="1" w:tplc="2B666E5E">
      <w:start w:val="1"/>
      <w:numFmt w:val="bullet"/>
      <w:lvlText w:val="o"/>
      <w:lvlJc w:val="left"/>
      <w:pPr>
        <w:ind w:left="1440" w:hanging="360"/>
      </w:pPr>
      <w:rPr>
        <w:rFonts w:ascii="Courier New" w:hAnsi="Courier New" w:hint="default"/>
      </w:rPr>
    </w:lvl>
    <w:lvl w:ilvl="2" w:tplc="8D2E9792">
      <w:start w:val="1"/>
      <w:numFmt w:val="bullet"/>
      <w:lvlText w:val=""/>
      <w:lvlJc w:val="left"/>
      <w:pPr>
        <w:ind w:left="2160" w:hanging="360"/>
      </w:pPr>
      <w:rPr>
        <w:rFonts w:ascii="Wingdings" w:hAnsi="Wingdings" w:hint="default"/>
      </w:rPr>
    </w:lvl>
    <w:lvl w:ilvl="3" w:tplc="60CCF9FE">
      <w:start w:val="1"/>
      <w:numFmt w:val="bullet"/>
      <w:lvlText w:val=""/>
      <w:lvlJc w:val="left"/>
      <w:pPr>
        <w:ind w:left="2880" w:hanging="360"/>
      </w:pPr>
      <w:rPr>
        <w:rFonts w:ascii="Symbol" w:hAnsi="Symbol" w:hint="default"/>
      </w:rPr>
    </w:lvl>
    <w:lvl w:ilvl="4" w:tplc="4D2ABCA8">
      <w:start w:val="1"/>
      <w:numFmt w:val="bullet"/>
      <w:lvlText w:val="o"/>
      <w:lvlJc w:val="left"/>
      <w:pPr>
        <w:ind w:left="3600" w:hanging="360"/>
      </w:pPr>
      <w:rPr>
        <w:rFonts w:ascii="Courier New" w:hAnsi="Courier New" w:hint="default"/>
      </w:rPr>
    </w:lvl>
    <w:lvl w:ilvl="5" w:tplc="0B0654C6">
      <w:start w:val="1"/>
      <w:numFmt w:val="bullet"/>
      <w:lvlText w:val=""/>
      <w:lvlJc w:val="left"/>
      <w:pPr>
        <w:ind w:left="4320" w:hanging="360"/>
      </w:pPr>
      <w:rPr>
        <w:rFonts w:ascii="Wingdings" w:hAnsi="Wingdings" w:hint="default"/>
      </w:rPr>
    </w:lvl>
    <w:lvl w:ilvl="6" w:tplc="A272913C">
      <w:start w:val="1"/>
      <w:numFmt w:val="bullet"/>
      <w:lvlText w:val=""/>
      <w:lvlJc w:val="left"/>
      <w:pPr>
        <w:ind w:left="5040" w:hanging="360"/>
      </w:pPr>
      <w:rPr>
        <w:rFonts w:ascii="Symbol" w:hAnsi="Symbol" w:hint="default"/>
      </w:rPr>
    </w:lvl>
    <w:lvl w:ilvl="7" w:tplc="4F969194">
      <w:start w:val="1"/>
      <w:numFmt w:val="bullet"/>
      <w:lvlText w:val="o"/>
      <w:lvlJc w:val="left"/>
      <w:pPr>
        <w:ind w:left="5760" w:hanging="360"/>
      </w:pPr>
      <w:rPr>
        <w:rFonts w:ascii="Courier New" w:hAnsi="Courier New" w:hint="default"/>
      </w:rPr>
    </w:lvl>
    <w:lvl w:ilvl="8" w:tplc="4E5E03C0">
      <w:start w:val="1"/>
      <w:numFmt w:val="bullet"/>
      <w:lvlText w:val=""/>
      <w:lvlJc w:val="left"/>
      <w:pPr>
        <w:ind w:left="6480" w:hanging="360"/>
      </w:pPr>
      <w:rPr>
        <w:rFonts w:ascii="Wingdings" w:hAnsi="Wingdings" w:hint="default"/>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33395353">
    <w:abstractNumId w:val="9"/>
  </w:num>
  <w:num w:numId="2" w16cid:durableId="1142695553">
    <w:abstractNumId w:val="18"/>
  </w:num>
  <w:num w:numId="3" w16cid:durableId="500243646">
    <w:abstractNumId w:val="54"/>
  </w:num>
  <w:num w:numId="4" w16cid:durableId="753865804">
    <w:abstractNumId w:val="55"/>
  </w:num>
  <w:num w:numId="5" w16cid:durableId="181163766">
    <w:abstractNumId w:val="20"/>
  </w:num>
  <w:num w:numId="6" w16cid:durableId="2108885894">
    <w:abstractNumId w:val="0"/>
  </w:num>
  <w:num w:numId="7" w16cid:durableId="1597787902">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5167A"/>
    <w:rsid w:val="004645B9"/>
    <w:rsid w:val="00483A73"/>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C35EE"/>
    <w:rsid w:val="006E0FA0"/>
    <w:rsid w:val="006E372F"/>
    <w:rsid w:val="00741192"/>
    <w:rsid w:val="0078332D"/>
    <w:rsid w:val="00784C5F"/>
    <w:rsid w:val="00792F4D"/>
    <w:rsid w:val="007E2525"/>
    <w:rsid w:val="007F3381"/>
    <w:rsid w:val="007F5B30"/>
    <w:rsid w:val="008161AE"/>
    <w:rsid w:val="00826199"/>
    <w:rsid w:val="00840C2F"/>
    <w:rsid w:val="0084118E"/>
    <w:rsid w:val="00841C28"/>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029A"/>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C5F"/>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ealthinfo@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3.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9</Pages>
  <Words>3564</Words>
  <Characters>20316</Characters>
  <Application>Microsoft Office Word</Application>
  <DocSecurity>0</DocSecurity>
  <Lines>169</Lines>
  <Paragraphs>47</Paragraphs>
  <ScaleCrop>false</ScaleCrop>
  <Company/>
  <LinksUpToDate>false</LinksUpToDate>
  <CharactersWithSpaces>23833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21</cp:revision>
  <cp:lastPrinted>2019-06-07T18:48:00Z</cp:lastPrinted>
  <dcterms:created xsi:type="dcterms:W3CDTF">2025-01-10T16:35:00Z</dcterms:created>
  <dcterms:modified xsi:type="dcterms:W3CDTF">2026-04-16T14:10:00Z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