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E6A1F" w14:textId="77777777" w:rsidR="00E61FFF" w:rsidRDefault="00E61FFF" w:rsidP="00E61FFF">
      <w:pPr>
        <w:spacing w:after="160"/>
      </w:pPr>
      <w:r>
        <w:rPr>
          <w:rFonts w:ascii="Arial" w:eastAsia="Arial" w:hAnsi="Arial" w:cs="Arial"/>
          <w:b/>
          <w:bCs/>
          <w:caps/>
          <w:color w:val="1B2F6E"/>
          <w:sz w:val="28"/>
          <w:szCs w:val="28"/>
        </w:rPr>
        <w:t>IRD Coffee Connections – Vancouver: What You Need to Know</w:t>
      </w:r>
    </w:p>
    <w:p w14:paraId="5799D6D7" w14:textId="6E810D1C" w:rsidR="00E61FFF" w:rsidRDefault="00E61FFF" w:rsidP="00E61FFF">
      <w:pPr>
        <w:spacing w:after="240"/>
      </w:pPr>
      <w:r>
        <w:t xml:space="preserve">Below is a short summary of FBC’s </w:t>
      </w:r>
      <w:r>
        <w:rPr>
          <w:b/>
          <w:bCs/>
        </w:rPr>
        <w:t>Inherited Retinal Diseases (IRD): Coffee Connections – Vancouver</w:t>
      </w:r>
      <w:r>
        <w:t xml:space="preserve">, which took place on April </w:t>
      </w:r>
      <w:r w:rsidR="00AC3E82">
        <w:t>9</w:t>
      </w:r>
      <w:r>
        <w:t xml:space="preserve">, 2026 and featured Dr. Kirill Zaslavsky. The full transcript can be found on our website. Visit us at </w:t>
      </w:r>
      <w:hyperlink r:id="rId11" w:history="1">
        <w:r>
          <w:rPr>
            <w:rStyle w:val="Hyperlink"/>
          </w:rPr>
          <w:t>fightingblindness.ca</w:t>
        </w:r>
      </w:hyperlink>
      <w:r>
        <w:t xml:space="preserve"> to discover more!</w:t>
      </w:r>
    </w:p>
    <w:p w14:paraId="3AC8361B" w14:textId="669489AE" w:rsidR="00471D5F" w:rsidRDefault="00471D5F" w:rsidP="00E61FFF">
      <w:pPr>
        <w:spacing w:after="240"/>
      </w:pPr>
      <w:r w:rsidRPr="00471D5F">
        <w:t xml:space="preserve">If you have questions about your diagnosis or would like support finding resources, please contact the Fighting Blindness Canada Health Information Line at </w:t>
      </w:r>
      <w:hyperlink r:id="rId12" w:history="1">
        <w:r w:rsidRPr="00471D5F">
          <w:rPr>
            <w:rStyle w:val="Hyperlink"/>
            <w:b/>
            <w:bCs/>
          </w:rPr>
          <w:t>healthinfo@fightingblindness.ca</w:t>
        </w:r>
      </w:hyperlink>
      <w:r w:rsidRPr="00471D5F">
        <w:t xml:space="preserve"> or by phone. Our team is available to help you navigate your condition, find relevant clinical trials, and connect you with trusted information and support.</w:t>
      </w:r>
    </w:p>
    <w:p w14:paraId="43D3DD0F" w14:textId="77777777" w:rsidR="00E61FFF" w:rsidRDefault="00E61FFF" w:rsidP="00E61FFF">
      <w:pPr>
        <w:pStyle w:val="Heading2"/>
      </w:pPr>
      <w:r>
        <w:t>What Are Inherited Retinal Diseases?</w:t>
      </w:r>
    </w:p>
    <w:p w14:paraId="31D451F4" w14:textId="77777777" w:rsidR="00E61FFF" w:rsidRDefault="00E61FFF" w:rsidP="00E61FFF">
      <w:pPr>
        <w:spacing w:after="120"/>
      </w:pPr>
      <w:r>
        <w:t>Inherited retinal diseases (IRDs) are genetic conditions that cause progressive degeneration of the retina. They are passed down from parents and in most cases progress very slowly.</w:t>
      </w:r>
    </w:p>
    <w:p w14:paraId="3958DEC0" w14:textId="77777777" w:rsidR="00E61FFF" w:rsidRDefault="00E61FFF" w:rsidP="00E61FFF">
      <w:pPr>
        <w:spacing w:after="120"/>
      </w:pPr>
      <w:r>
        <w:t>There are nearly 300 different genes associated with IRDs, meaning there is significant diversity in how these conditions present — even among people with the same broad diagnosis like retinitis pigmentosa. Two people with RP will likely have different genetic variants causing it.</w:t>
      </w:r>
    </w:p>
    <w:p w14:paraId="21662ED0" w14:textId="77777777" w:rsidR="00E61FFF" w:rsidRDefault="00E61FFF" w:rsidP="00E61FFF">
      <w:pPr>
        <w:spacing w:after="120"/>
      </w:pPr>
      <w:r>
        <w:t>IRDs are the leading cause of legal blindness claims in the working-age population in countries like Australia and the UK.</w:t>
      </w:r>
    </w:p>
    <w:p w14:paraId="681EAAD7" w14:textId="77777777" w:rsidR="00E61FFF" w:rsidRDefault="00E61FFF" w:rsidP="00E61FFF">
      <w:pPr>
        <w:spacing w:after="120"/>
      </w:pPr>
      <w:r>
        <w:t>Two of the most commonly discussed types:</w:t>
      </w:r>
    </w:p>
    <w:p w14:paraId="7B8CECAB" w14:textId="77777777" w:rsidR="00E61FFF" w:rsidRDefault="00E61FFF" w:rsidP="00E61FFF">
      <w:pPr>
        <w:pStyle w:val="ListParagraph"/>
        <w:numPr>
          <w:ilvl w:val="0"/>
          <w:numId w:val="67"/>
        </w:numPr>
        <w:spacing w:after="80"/>
        <w:contextualSpacing w:val="0"/>
      </w:pPr>
      <w:r>
        <w:rPr>
          <w:b/>
          <w:bCs/>
        </w:rPr>
        <w:t xml:space="preserve">Retinitis Pigmentosa (RP) – </w:t>
      </w:r>
      <w:r>
        <w:t>a rod-cone dystrophy; hallmark symptoms are difficulty with night vision and progressive peripheral vision loss, while central vision is typically preserved until later stages</w:t>
      </w:r>
    </w:p>
    <w:p w14:paraId="686051E8" w14:textId="77777777" w:rsidR="00E61FFF" w:rsidRDefault="00E61FFF" w:rsidP="00E61FFF">
      <w:pPr>
        <w:pStyle w:val="ListParagraph"/>
        <w:numPr>
          <w:ilvl w:val="0"/>
          <w:numId w:val="67"/>
        </w:numPr>
        <w:spacing w:after="80"/>
        <w:contextualSpacing w:val="0"/>
      </w:pPr>
      <w:r>
        <w:rPr>
          <w:b/>
          <w:bCs/>
        </w:rPr>
        <w:t xml:space="preserve">Stargardt Disease – </w:t>
      </w:r>
      <w:r>
        <w:t>a cone-dominant condition affecting central vision first; symptoms include blurry central vision, a developing blind spot, and difficulty distinguishing colours</w:t>
      </w:r>
    </w:p>
    <w:p w14:paraId="52331FCD" w14:textId="77777777" w:rsidR="00E61FFF" w:rsidRDefault="00E61FFF" w:rsidP="00E61FFF">
      <w:pPr>
        <w:spacing w:after="80"/>
      </w:pPr>
    </w:p>
    <w:p w14:paraId="0E57D23E" w14:textId="77777777" w:rsidR="00E61FFF" w:rsidRDefault="00E61FFF" w:rsidP="00E61FFF">
      <w:pPr>
        <w:pStyle w:val="Heading2"/>
      </w:pPr>
      <w:r>
        <w:t>Why Genetic Testing Matters</w:t>
      </w:r>
    </w:p>
    <w:p w14:paraId="5A295509" w14:textId="77777777" w:rsidR="00E61FFF" w:rsidRDefault="00E61FFF" w:rsidP="00E61FFF">
      <w:pPr>
        <w:spacing w:after="120"/>
      </w:pPr>
      <w:r>
        <w:t>The American Academy of Ophthalmology now considers genetic testing the standard of care for IRDs. Here’s why it matters:</w:t>
      </w:r>
    </w:p>
    <w:p w14:paraId="7EB0232A" w14:textId="77777777" w:rsidR="00E61FFF" w:rsidRDefault="00E61FFF" w:rsidP="00E61FFF">
      <w:pPr>
        <w:pStyle w:val="ListParagraph"/>
        <w:numPr>
          <w:ilvl w:val="0"/>
          <w:numId w:val="67"/>
        </w:numPr>
        <w:spacing w:after="80"/>
        <w:contextualSpacing w:val="0"/>
      </w:pPr>
      <w:r>
        <w:rPr>
          <w:b/>
          <w:bCs/>
        </w:rPr>
        <w:t xml:space="preserve">Clinical trial eligibility: </w:t>
      </w:r>
      <w:r>
        <w:t>Many new therapies are gene-specific. Without knowing your mutation, you would not be eligible for those treatments if they become available.</w:t>
      </w:r>
    </w:p>
    <w:p w14:paraId="46420DD9" w14:textId="77777777" w:rsidR="00E61FFF" w:rsidRDefault="00E61FFF" w:rsidP="00E61FFF">
      <w:pPr>
        <w:pStyle w:val="ListParagraph"/>
        <w:numPr>
          <w:ilvl w:val="0"/>
          <w:numId w:val="67"/>
        </w:numPr>
        <w:spacing w:after="80"/>
        <w:contextualSpacing w:val="0"/>
      </w:pPr>
      <w:r>
        <w:rPr>
          <w:b/>
          <w:bCs/>
        </w:rPr>
        <w:t xml:space="preserve">Clarifying your diagnosis: </w:t>
      </w:r>
      <w:r>
        <w:t>Conditions that look like IRDs can sometimes be mistaken for acquired or autoimmune conditions. A confirmed genetic result can spare patients from unnecessary investigations and treatments.</w:t>
      </w:r>
    </w:p>
    <w:p w14:paraId="6F1A26F4" w14:textId="77777777" w:rsidR="00E61FFF" w:rsidRDefault="00E61FFF" w:rsidP="00E61FFF">
      <w:pPr>
        <w:pStyle w:val="ListParagraph"/>
        <w:numPr>
          <w:ilvl w:val="0"/>
          <w:numId w:val="67"/>
        </w:numPr>
        <w:spacing w:after="80"/>
        <w:contextualSpacing w:val="0"/>
      </w:pPr>
      <w:r>
        <w:rPr>
          <w:b/>
          <w:bCs/>
        </w:rPr>
        <w:lastRenderedPageBreak/>
        <w:t xml:space="preserve">Understanding your prognosis: </w:t>
      </w:r>
      <w:r>
        <w:t>Penetrance — the likelihood that a gene variant leads to disease — is lower than traditionally assumed. Even among people with the same variant, the course of disease varies significantly. Research is now focused on understanding what modifies that risk.</w:t>
      </w:r>
    </w:p>
    <w:p w14:paraId="595558C6" w14:textId="77777777" w:rsidR="00E61FFF" w:rsidRDefault="00E61FFF" w:rsidP="00E61FFF">
      <w:pPr>
        <w:pStyle w:val="ListParagraph"/>
        <w:numPr>
          <w:ilvl w:val="0"/>
          <w:numId w:val="67"/>
        </w:numPr>
        <w:spacing w:after="80"/>
        <w:contextualSpacing w:val="0"/>
      </w:pPr>
      <w:r>
        <w:rPr>
          <w:b/>
          <w:bCs/>
        </w:rPr>
        <w:t xml:space="preserve">Family planning: </w:t>
      </w:r>
      <w:r>
        <w:t>Knowing your specific variant makes it easier to test family members for that same change, and helps them understand their own risk.</w:t>
      </w:r>
    </w:p>
    <w:p w14:paraId="3A3B80C4" w14:textId="77777777" w:rsidR="00E61FFF" w:rsidRDefault="00E61FFF" w:rsidP="00E61FFF">
      <w:pPr>
        <w:spacing w:after="80"/>
      </w:pPr>
    </w:p>
    <w:p w14:paraId="17C7BB11" w14:textId="77777777" w:rsidR="00E61FFF" w:rsidRDefault="00E61FFF" w:rsidP="00E61FFF">
      <w:pPr>
        <w:spacing w:after="120"/>
      </w:pPr>
      <w:r>
        <w:rPr>
          <w:b/>
          <w:bCs/>
        </w:rPr>
        <w:t xml:space="preserve">Important: </w:t>
      </w:r>
      <w:r>
        <w:t>A diagnosis can also change after genetic testing. A clinical diagnosis made years ago based on appearance alone may be revised once genetic information is available.</w:t>
      </w:r>
    </w:p>
    <w:p w14:paraId="6460492D" w14:textId="77777777" w:rsidR="00E61FFF" w:rsidRDefault="00E61FFF" w:rsidP="00E61FFF">
      <w:pPr>
        <w:spacing w:after="80"/>
      </w:pPr>
    </w:p>
    <w:p w14:paraId="5CE4208F" w14:textId="77777777" w:rsidR="00E61FFF" w:rsidRDefault="00E61FFF" w:rsidP="00E61FFF">
      <w:pPr>
        <w:pStyle w:val="Heading2"/>
      </w:pPr>
      <w:r>
        <w:t>Current Treatments: Where We Are Today</w:t>
      </w:r>
    </w:p>
    <w:p w14:paraId="36C1E64A" w14:textId="77777777" w:rsidR="00E61FFF" w:rsidRDefault="00E61FFF" w:rsidP="00E61FFF">
      <w:pPr>
        <w:spacing w:after="120"/>
      </w:pPr>
      <w:r>
        <w:t>Currently, there is only one approved gene therapy for IRDs in Canada:</w:t>
      </w:r>
    </w:p>
    <w:p w14:paraId="47AC84A4" w14:textId="77777777" w:rsidR="00E61FFF" w:rsidRDefault="00E61FFF" w:rsidP="00E61FFF">
      <w:pPr>
        <w:pStyle w:val="ListParagraph"/>
        <w:numPr>
          <w:ilvl w:val="0"/>
          <w:numId w:val="67"/>
        </w:numPr>
        <w:spacing w:after="80"/>
        <w:contextualSpacing w:val="0"/>
      </w:pPr>
      <w:r>
        <w:rPr>
          <w:b/>
          <w:bCs/>
        </w:rPr>
        <w:t xml:space="preserve">Luxturna (voretigene neparvovec) – </w:t>
      </w:r>
      <w:r>
        <w:t>approved for people with mutations in the RPE65 gene specifically. RPE65 is an enzyme critical for the vitamin A cycle. When it’s missing, the retina can’t generate what it needs to detect light. Luxturna delivers a working copy of the gene, restoring the cycle and improving vision. Crucially, RPE65 patients often have intact retinal structure that just isn’t functioning — this structure-function dissociation is what made the treatment so successful. It is not a treatment for RP in general, and affects approximately 1% or less of people with RP — roughly 50 to 60 people in all of Canada.</w:t>
      </w:r>
    </w:p>
    <w:p w14:paraId="406966AA" w14:textId="77777777" w:rsidR="00E61FFF" w:rsidRDefault="00E61FFF" w:rsidP="00E61FFF">
      <w:pPr>
        <w:spacing w:after="80"/>
      </w:pPr>
    </w:p>
    <w:p w14:paraId="26944E7E" w14:textId="77777777" w:rsidR="00E61FFF" w:rsidRDefault="00E61FFF" w:rsidP="00E61FFF">
      <w:pPr>
        <w:spacing w:after="120"/>
      </w:pPr>
      <w:r>
        <w:t>For all other IRDs, there are currently no approved treatments beyond supportive care. However, research is advancing rapidly.</w:t>
      </w:r>
    </w:p>
    <w:p w14:paraId="2293FD3C" w14:textId="77777777" w:rsidR="00E61FFF" w:rsidRDefault="00E61FFF" w:rsidP="00E61FFF">
      <w:pPr>
        <w:spacing w:after="80"/>
      </w:pPr>
    </w:p>
    <w:p w14:paraId="2266A8E3" w14:textId="77777777" w:rsidR="00E61FFF" w:rsidRDefault="00E61FFF" w:rsidP="00E61FFF">
      <w:pPr>
        <w:pStyle w:val="Heading2"/>
      </w:pPr>
      <w:r>
        <w:t>What Research Is Focused On</w:t>
      </w:r>
    </w:p>
    <w:p w14:paraId="5769C7E2" w14:textId="77777777" w:rsidR="00E61FFF" w:rsidRDefault="00E61FFF" w:rsidP="00E61FFF">
      <w:pPr>
        <w:spacing w:after="80"/>
      </w:pPr>
      <w:r>
        <w:rPr>
          <w:b/>
          <w:bCs/>
        </w:rPr>
        <w:t>Neuroprotection</w:t>
      </w:r>
    </w:p>
    <w:p w14:paraId="10260484" w14:textId="77777777" w:rsidR="00E61FFF" w:rsidRDefault="00E61FFF" w:rsidP="00E61FFF">
      <w:pPr>
        <w:spacing w:after="120"/>
      </w:pPr>
      <w:r>
        <w:t>Neuroprotection aims to keep existing retinal cells alive and slow disease progression:</w:t>
      </w:r>
    </w:p>
    <w:p w14:paraId="1D880682" w14:textId="77777777" w:rsidR="00E61FFF" w:rsidRDefault="00E61FFF" w:rsidP="00E61FFF">
      <w:pPr>
        <w:pStyle w:val="ListParagraph"/>
        <w:numPr>
          <w:ilvl w:val="0"/>
          <w:numId w:val="67"/>
        </w:numPr>
        <w:spacing w:after="80"/>
        <w:contextualSpacing w:val="0"/>
      </w:pPr>
      <w:r>
        <w:rPr>
          <w:b/>
          <w:bCs/>
        </w:rPr>
        <w:t xml:space="preserve">N-acetylcysteine (NAC): </w:t>
      </w:r>
      <w:r>
        <w:t>a powerful antioxidant already approved for Tylenol overdose; a large phase three trial involving ~500 people over four years is currently underway for RP. If effective, it would be an oral medication — no surgery or injections required.</w:t>
      </w:r>
    </w:p>
    <w:p w14:paraId="066E78CE" w14:textId="77777777" w:rsidR="00E61FFF" w:rsidRDefault="00E61FFF" w:rsidP="00E61FFF">
      <w:pPr>
        <w:pStyle w:val="ListParagraph"/>
        <w:numPr>
          <w:ilvl w:val="0"/>
          <w:numId w:val="67"/>
        </w:numPr>
        <w:spacing w:after="80"/>
        <w:contextualSpacing w:val="0"/>
      </w:pPr>
      <w:r>
        <w:rPr>
          <w:b/>
          <w:bCs/>
        </w:rPr>
        <w:t xml:space="preserve">Gene-agnostic therapies: </w:t>
      </w:r>
      <w:r>
        <w:t>OC-400 and SparingVision are gene therapies designed to keep remaining retinal cells alive longer, regardless of which gene is causing the disease. jCyte is also exploring an approach where injected cells release signaling molecules to support surviving retinal cells.</w:t>
      </w:r>
    </w:p>
    <w:p w14:paraId="571D2690" w14:textId="77777777" w:rsidR="00E61FFF" w:rsidRDefault="00E61FFF" w:rsidP="00E61FFF">
      <w:pPr>
        <w:spacing w:after="80"/>
      </w:pPr>
    </w:p>
    <w:p w14:paraId="145D5734" w14:textId="77777777" w:rsidR="00E61FFF" w:rsidRDefault="00E61FFF" w:rsidP="00E61FFF">
      <w:pPr>
        <w:spacing w:after="80"/>
      </w:pPr>
      <w:r>
        <w:rPr>
          <w:b/>
          <w:bCs/>
        </w:rPr>
        <w:lastRenderedPageBreak/>
        <w:t>Gene-Specific Therapies</w:t>
      </w:r>
    </w:p>
    <w:p w14:paraId="5BE72727" w14:textId="77777777" w:rsidR="00E61FFF" w:rsidRDefault="00E61FFF" w:rsidP="00E61FFF">
      <w:pPr>
        <w:spacing w:after="120"/>
      </w:pPr>
      <w:r>
        <w:t>Over 20 gene-specific targets have been studied in clinical trials since Luxturna’s approval in 2017. The safety record has been reasonable, but none have yet reached approval. The challenge is that most IRDs don’t have the same structure-function dissociation that made Luxturna work so dramatically. For Stargardt disease specifically, three different gene therapy approaches and three to four oral medications are in trials simultaneously.</w:t>
      </w:r>
    </w:p>
    <w:p w14:paraId="4DD5E506" w14:textId="77777777" w:rsidR="00E61FFF" w:rsidRDefault="00E61FFF" w:rsidP="00E61FFF">
      <w:pPr>
        <w:spacing w:after="80"/>
      </w:pPr>
    </w:p>
    <w:p w14:paraId="21BFF990" w14:textId="77777777" w:rsidR="00E61FFF" w:rsidRDefault="00E61FFF" w:rsidP="00E61FFF">
      <w:pPr>
        <w:spacing w:after="80"/>
      </w:pPr>
      <w:r>
        <w:rPr>
          <w:b/>
          <w:bCs/>
        </w:rPr>
        <w:t>Cell Replacement and Regeneration</w:t>
      </w:r>
    </w:p>
    <w:p w14:paraId="5CD5CFBE" w14:textId="2FFA7EA0" w:rsidR="00E61FFF" w:rsidRDefault="00E61FFF" w:rsidP="00E61FFF">
      <w:pPr>
        <w:spacing w:after="120"/>
      </w:pPr>
      <w:r>
        <w:t xml:space="preserve">Stem cell research aims to replace lost photoreceptors by injecting new cells into the retina. Early trials have shown it is safe to do this, but achieving functional improvement remains the key challenge. The retina is a neural network — injected cells need to wire up correctly with a network that has already adapted to loss. Dr. David </w:t>
      </w:r>
      <w:r w:rsidR="009C34B9">
        <w:t>Gamm</w:t>
      </w:r>
      <w:r>
        <w:t xml:space="preserve"> is beginning a phase one trial of stem cell transplantation.</w:t>
      </w:r>
    </w:p>
    <w:p w14:paraId="118FA257" w14:textId="77777777" w:rsidR="00E61FFF" w:rsidRDefault="00E61FFF" w:rsidP="00E61FFF">
      <w:pPr>
        <w:spacing w:after="120"/>
      </w:pPr>
      <w:r>
        <w:t>Research into retinal self-repair — including work inspired by zebrafish, which can regenerate their retinas — is ongoing at a pre-clinical stage. Muller glia cells in the retina may have some capacity to give rise to new retinal cells, and scientists are investigating ways to promote that.</w:t>
      </w:r>
    </w:p>
    <w:p w14:paraId="4E538FD0" w14:textId="77777777" w:rsidR="00E61FFF" w:rsidRDefault="00E61FFF" w:rsidP="00E61FFF">
      <w:pPr>
        <w:spacing w:after="80"/>
      </w:pPr>
    </w:p>
    <w:p w14:paraId="76C0FED8" w14:textId="77777777" w:rsidR="00E61FFF" w:rsidRDefault="00E61FFF" w:rsidP="00E61FFF">
      <w:pPr>
        <w:pStyle w:val="Heading2"/>
      </w:pPr>
      <w:r>
        <w:t>The Role of AI in IRD Research</w:t>
      </w:r>
    </w:p>
    <w:p w14:paraId="64FD8DF7" w14:textId="77777777" w:rsidR="00E61FFF" w:rsidRDefault="00E61FFF" w:rsidP="00E61FFF">
      <w:pPr>
        <w:spacing w:after="120"/>
      </w:pPr>
      <w:r>
        <w:t>AI is already having a meaningful impact. When expert IRD specialists are shown retinal images and asked to guess which of five genes might be responsible, they are right about 30% of the time. A well-trained AI model can reach around 80%. AI is particularly good at identifying fine-grained patterns across large datasets, which could make genetic identification more accessible and help solve cases where genetic testing is currently inconclusive — which happens in 30 to 40% of cases.</w:t>
      </w:r>
    </w:p>
    <w:p w14:paraId="6E3C3357" w14:textId="77777777" w:rsidR="00E61FFF" w:rsidRDefault="00E61FFF" w:rsidP="00E61FFF">
      <w:pPr>
        <w:spacing w:after="80"/>
      </w:pPr>
    </w:p>
    <w:p w14:paraId="168A7F0D" w14:textId="77777777" w:rsidR="00E61FFF" w:rsidRDefault="00E61FFF" w:rsidP="00E61FFF">
      <w:pPr>
        <w:pStyle w:val="Heading2"/>
      </w:pPr>
      <w:r>
        <w:t>What Are the Biggest Challenges Today?</w:t>
      </w:r>
    </w:p>
    <w:p w14:paraId="5A38E5AB" w14:textId="77777777" w:rsidR="00E61FFF" w:rsidRDefault="00E61FFF" w:rsidP="00E61FFF">
      <w:pPr>
        <w:pStyle w:val="ListParagraph"/>
        <w:numPr>
          <w:ilvl w:val="0"/>
          <w:numId w:val="67"/>
        </w:numPr>
        <w:spacing w:after="80"/>
        <w:contextualSpacing w:val="0"/>
      </w:pPr>
      <w:r>
        <w:rPr>
          <w:b/>
          <w:bCs/>
        </w:rPr>
        <w:t xml:space="preserve">No approved treatments for most IRDs: </w:t>
      </w:r>
      <w:r>
        <w:t>Beyond Luxturna for RPE65, patients are largely told to monitor and return. This is a shared frustration, and reflects both the scale of the problem and how early we still are in understanding the underlying biology.</w:t>
      </w:r>
    </w:p>
    <w:p w14:paraId="53CFCA0E" w14:textId="77777777" w:rsidR="00E61FFF" w:rsidRDefault="00E61FFF" w:rsidP="00E61FFF">
      <w:pPr>
        <w:pStyle w:val="ListParagraph"/>
        <w:numPr>
          <w:ilvl w:val="0"/>
          <w:numId w:val="67"/>
        </w:numPr>
        <w:spacing w:after="80"/>
        <w:contextualSpacing w:val="0"/>
      </w:pPr>
      <w:r>
        <w:rPr>
          <w:b/>
          <w:bCs/>
        </w:rPr>
        <w:t xml:space="preserve">Slow progression makes trials difficult: </w:t>
      </w:r>
      <w:r>
        <w:t>RP is a very slowly progressing condition. Demonstrating that a treatment actually slows it requires many years of follow-up — there are no shortcuts.</w:t>
      </w:r>
    </w:p>
    <w:p w14:paraId="65875B5E" w14:textId="77777777" w:rsidR="00E61FFF" w:rsidRDefault="00E61FFF" w:rsidP="00E61FFF">
      <w:pPr>
        <w:pStyle w:val="ListParagraph"/>
        <w:numPr>
          <w:ilvl w:val="0"/>
          <w:numId w:val="67"/>
        </w:numPr>
        <w:spacing w:after="80"/>
        <w:contextualSpacing w:val="0"/>
      </w:pPr>
      <w:r>
        <w:rPr>
          <w:b/>
          <w:bCs/>
        </w:rPr>
        <w:t xml:space="preserve">Trial eligibility is complex: </w:t>
      </w:r>
      <w:r>
        <w:t>Gene therapy involving sub-retinal surgery usually excludes you from future trials in that eye. Participants in oral medication trials may be able to move to gene therapy trials after a washout period.</w:t>
      </w:r>
    </w:p>
    <w:p w14:paraId="14C90EA7" w14:textId="77777777" w:rsidR="00E61FFF" w:rsidRDefault="00E61FFF" w:rsidP="00E61FFF">
      <w:pPr>
        <w:pStyle w:val="ListParagraph"/>
        <w:numPr>
          <w:ilvl w:val="0"/>
          <w:numId w:val="67"/>
        </w:numPr>
        <w:spacing w:after="80"/>
        <w:contextualSpacing w:val="0"/>
      </w:pPr>
      <w:r>
        <w:rPr>
          <w:b/>
          <w:bCs/>
        </w:rPr>
        <w:lastRenderedPageBreak/>
        <w:t xml:space="preserve">Access to specialists: </w:t>
      </w:r>
      <w:r>
        <w:t>For those outside major centres, accessing IRD-specialized care requires building a team — including your ophthalmologist, a genetic counselor, your family doctor, and potentially specialists at academic centres.</w:t>
      </w:r>
    </w:p>
    <w:p w14:paraId="0043C68F" w14:textId="77777777" w:rsidR="00E61FFF" w:rsidRDefault="00E61FFF" w:rsidP="00E61FFF">
      <w:pPr>
        <w:spacing w:after="80"/>
      </w:pPr>
    </w:p>
    <w:p w14:paraId="4324FDAB" w14:textId="77777777" w:rsidR="00E61FFF" w:rsidRDefault="00E61FFF" w:rsidP="00E61FFF">
      <w:pPr>
        <w:pStyle w:val="Heading2"/>
      </w:pPr>
      <w:r>
        <w:t>Treatments Not Yet Proven</w:t>
      </w:r>
    </w:p>
    <w:p w14:paraId="7D2458EB" w14:textId="77777777" w:rsidR="00E61FFF" w:rsidRDefault="00E61FFF" w:rsidP="00E61FFF">
      <w:pPr>
        <w:spacing w:after="120"/>
      </w:pPr>
      <w:r>
        <w:t>Some clinics — particularly in the US — advertise stem cell treatments for IRDs and charge patients for them. These are not approved treatments. Being asked to pay is the clearest red flag. In a legitimate clinical trial, patients are never charged — you are contributing your time and your body to science. Unregulated procedures can cause serious harm, including vision loss.</w:t>
      </w:r>
    </w:p>
    <w:p w14:paraId="767428C0" w14:textId="77777777" w:rsidR="00E61FFF" w:rsidRDefault="00E61FFF" w:rsidP="00E61FFF">
      <w:pPr>
        <w:spacing w:after="120"/>
      </w:pPr>
      <w:r>
        <w:t>Expanded access programs exist in the US for some investigational treatments, but these are not the same as approval. Undergoing gene therapy through an unregulated pathway may also exclude you from future clinical trials for your specific gene — which would be a significant trade-off.</w:t>
      </w:r>
    </w:p>
    <w:p w14:paraId="614C57D7" w14:textId="77777777" w:rsidR="00E61FFF" w:rsidRDefault="00E61FFF" w:rsidP="00E61FFF">
      <w:pPr>
        <w:spacing w:after="80"/>
      </w:pPr>
    </w:p>
    <w:p w14:paraId="48D2CA51" w14:textId="77777777" w:rsidR="00E61FFF" w:rsidRDefault="00E61FFF" w:rsidP="00E61FFF">
      <w:pPr>
        <w:pStyle w:val="Heading2"/>
      </w:pPr>
      <w:r>
        <w:t>How to Stay Informed and Advocate for Yourself</w:t>
      </w:r>
    </w:p>
    <w:p w14:paraId="59A85EE4" w14:textId="77777777" w:rsidR="00E61FFF" w:rsidRDefault="00E61FFF" w:rsidP="00E61FFF">
      <w:pPr>
        <w:pStyle w:val="ListParagraph"/>
        <w:numPr>
          <w:ilvl w:val="0"/>
          <w:numId w:val="67"/>
        </w:numPr>
        <w:spacing w:after="80"/>
        <w:contextualSpacing w:val="0"/>
      </w:pPr>
      <w:r>
        <w:rPr>
          <w:b/>
          <w:bCs/>
        </w:rPr>
        <w:t xml:space="preserve">Talk to your specialist: </w:t>
      </w:r>
      <w:r>
        <w:t>Ask your ophthalmologist whether you’re a candidate for any current trials. Regular appointments keep you present in their database so you’re top of mind when something opens.</w:t>
      </w:r>
    </w:p>
    <w:p w14:paraId="2B4D2606" w14:textId="77777777" w:rsidR="00E61FFF" w:rsidRDefault="00E61FFF" w:rsidP="00E61FFF">
      <w:pPr>
        <w:pStyle w:val="ListParagraph"/>
        <w:numPr>
          <w:ilvl w:val="0"/>
          <w:numId w:val="67"/>
        </w:numPr>
        <w:spacing w:after="80"/>
        <w:contextualSpacing w:val="0"/>
      </w:pPr>
      <w:r>
        <w:rPr>
          <w:b/>
          <w:bCs/>
        </w:rPr>
        <w:t xml:space="preserve">FBC Health Information Line: </w:t>
      </w:r>
      <w:r>
        <w:t>Available at healthinfo@fightingblindness.ca. Staff can help you identify relevant trials, understand your options, and prepare questions for your doctor.</w:t>
      </w:r>
    </w:p>
    <w:p w14:paraId="49B87BD0" w14:textId="77777777" w:rsidR="00E61FFF" w:rsidRDefault="00E61FFF" w:rsidP="00E61FFF">
      <w:pPr>
        <w:pStyle w:val="ListParagraph"/>
        <w:numPr>
          <w:ilvl w:val="0"/>
          <w:numId w:val="67"/>
        </w:numPr>
        <w:spacing w:after="80"/>
        <w:contextualSpacing w:val="0"/>
      </w:pPr>
      <w:r>
        <w:rPr>
          <w:b/>
          <w:bCs/>
        </w:rPr>
        <w:t xml:space="preserve">FBC website: </w:t>
      </w:r>
      <w:r>
        <w:t>A list of innovative clinical trials organized by disease type is available at fightingblindness.ca — easier to navigate than ClinicalTrials.gov.</w:t>
      </w:r>
    </w:p>
    <w:p w14:paraId="4572A6EA" w14:textId="77777777" w:rsidR="00E61FFF" w:rsidRDefault="00E61FFF" w:rsidP="00E61FFF">
      <w:pPr>
        <w:pStyle w:val="ListParagraph"/>
        <w:numPr>
          <w:ilvl w:val="0"/>
          <w:numId w:val="67"/>
        </w:numPr>
        <w:spacing w:after="80"/>
        <w:contextualSpacing w:val="0"/>
      </w:pPr>
      <w:r>
        <w:rPr>
          <w:b/>
          <w:bCs/>
        </w:rPr>
        <w:t xml:space="preserve">Patient registry: </w:t>
      </w:r>
      <w:r>
        <w:t>FBC sponsors a national IRD patient registry, with Dr. Gregory Evans as a site leader in BC. Enrolment means you’ll be among the first to hear when a relevant trial opens.</w:t>
      </w:r>
    </w:p>
    <w:p w14:paraId="5A7A3C5E" w14:textId="77777777" w:rsidR="00E61FFF" w:rsidRDefault="00E61FFF" w:rsidP="00E61FFF">
      <w:pPr>
        <w:pStyle w:val="ListParagraph"/>
        <w:numPr>
          <w:ilvl w:val="0"/>
          <w:numId w:val="67"/>
        </w:numPr>
        <w:spacing w:after="80"/>
        <w:contextualSpacing w:val="0"/>
      </w:pPr>
      <w:r>
        <w:rPr>
          <w:b/>
          <w:bCs/>
        </w:rPr>
        <w:t xml:space="preserve">Foundation Fighting Blindness (US): </w:t>
      </w:r>
      <w:r>
        <w:t>Many trials are US-based; the FFB is a valuable resource for staying informed about international opportunities.</w:t>
      </w:r>
    </w:p>
    <w:p w14:paraId="1E6AC86E" w14:textId="77777777" w:rsidR="00E61FFF" w:rsidRDefault="00E61FFF" w:rsidP="00E61FFF">
      <w:pPr>
        <w:pStyle w:val="ListParagraph"/>
        <w:numPr>
          <w:ilvl w:val="0"/>
          <w:numId w:val="67"/>
        </w:numPr>
        <w:spacing w:after="80"/>
        <w:contextualSpacing w:val="0"/>
      </w:pPr>
      <w:r>
        <w:rPr>
          <w:b/>
          <w:bCs/>
        </w:rPr>
        <w:t xml:space="preserve">Condition-specific advocacy groups: </w:t>
      </w:r>
      <w:r>
        <w:t>For some IRDs, there are gene-specific or condition-specific patient groups that circulate trial information.</w:t>
      </w:r>
    </w:p>
    <w:p w14:paraId="0197D51E" w14:textId="77777777" w:rsidR="00E61FFF" w:rsidRDefault="00E61FFF" w:rsidP="00E61FFF">
      <w:pPr>
        <w:spacing w:after="80"/>
      </w:pPr>
    </w:p>
    <w:p w14:paraId="38D7995F" w14:textId="77777777" w:rsidR="00E61FFF" w:rsidRDefault="00E61FFF" w:rsidP="00E61FFF">
      <w:pPr>
        <w:pStyle w:val="Heading2"/>
      </w:pPr>
      <w:r>
        <w:t>Vision Rehabilitation Matters Now</w:t>
      </w:r>
    </w:p>
    <w:p w14:paraId="42239134" w14:textId="77777777" w:rsidR="00E61FFF" w:rsidRDefault="00E61FFF" w:rsidP="00E61FFF">
      <w:pPr>
        <w:spacing w:after="120"/>
      </w:pPr>
      <w:r>
        <w:t xml:space="preserve">Gene therapy and clinical trials are not the only options available to people with IRDs today. Low vision specialists, orientation and mobility specialists, and assistive technology can meaningfully improve daily functioning right now. Smart glasses — like Meta Ray-Bans — have </w:t>
      </w:r>
      <w:r>
        <w:lastRenderedPageBreak/>
        <w:t>been helpful for many patients with vision loss, offering hands-free, voice-activated AI assistance. Newer apps like OrCam can identify specific objects through the glasses. These tools are becoming more capable quickly, and thinking proactively about how your vision may change — and what supports you might need — is just as important as staying connected to research.</w:t>
      </w:r>
    </w:p>
    <w:p w14:paraId="698645F7" w14:textId="77777777" w:rsidR="00E61FFF" w:rsidRDefault="00E61FFF" w:rsidP="00E61FFF">
      <w:pPr>
        <w:spacing w:after="80"/>
      </w:pPr>
    </w:p>
    <w:p w14:paraId="5F36F8E8" w14:textId="77777777" w:rsidR="00E61FFF" w:rsidRDefault="00E61FFF" w:rsidP="00E61FFF">
      <w:pPr>
        <w:pStyle w:val="Heading2"/>
      </w:pPr>
      <w:r>
        <w:t>Key Takeaways</w:t>
      </w:r>
    </w:p>
    <w:p w14:paraId="5AF7D6DD" w14:textId="77777777" w:rsidR="00E61FFF" w:rsidRDefault="00E61FFF" w:rsidP="00E61FFF">
      <w:pPr>
        <w:pStyle w:val="ListParagraph"/>
        <w:numPr>
          <w:ilvl w:val="0"/>
          <w:numId w:val="67"/>
        </w:numPr>
        <w:spacing w:after="80"/>
        <w:contextualSpacing w:val="0"/>
      </w:pPr>
      <w:r>
        <w:t>IRDs are caused by mutations in nearly 300 different genes — there is no one-size-fits-all approach</w:t>
      </w:r>
    </w:p>
    <w:p w14:paraId="70FABC6A" w14:textId="77777777" w:rsidR="00E61FFF" w:rsidRDefault="00E61FFF" w:rsidP="00E61FFF">
      <w:pPr>
        <w:pStyle w:val="ListParagraph"/>
        <w:numPr>
          <w:ilvl w:val="0"/>
          <w:numId w:val="67"/>
        </w:numPr>
        <w:spacing w:after="80"/>
        <w:contextualSpacing w:val="0"/>
      </w:pPr>
      <w:r>
        <w:t>Genetic testing is the standard of care and is essential for clinical trial eligibility, accurate diagnosis, and family planning</w:t>
      </w:r>
    </w:p>
    <w:p w14:paraId="5E1B306F" w14:textId="77777777" w:rsidR="00E61FFF" w:rsidRDefault="00E61FFF" w:rsidP="00E61FFF">
      <w:pPr>
        <w:pStyle w:val="ListParagraph"/>
        <w:numPr>
          <w:ilvl w:val="0"/>
          <w:numId w:val="67"/>
        </w:numPr>
        <w:spacing w:after="80"/>
        <w:contextualSpacing w:val="0"/>
      </w:pPr>
      <w:r>
        <w:t>The only currently approved gene therapy in Canada is Luxturna, for RPE65 mutations — affecting roughly 1% of people with RP</w:t>
      </w:r>
    </w:p>
    <w:p w14:paraId="541DEAF7" w14:textId="77777777" w:rsidR="00E61FFF" w:rsidRDefault="00E61FFF" w:rsidP="00E61FFF">
      <w:pPr>
        <w:pStyle w:val="ListParagraph"/>
        <w:numPr>
          <w:ilvl w:val="0"/>
          <w:numId w:val="67"/>
        </w:numPr>
        <w:spacing w:after="80"/>
        <w:contextualSpacing w:val="0"/>
      </w:pPr>
      <w:r>
        <w:t>Research is advancing on multiple fronts: neuroprotection, gene-specific therapies, gene-agnostic therapies, and cell replacement</w:t>
      </w:r>
    </w:p>
    <w:p w14:paraId="1ACBDB00" w14:textId="77777777" w:rsidR="00E61FFF" w:rsidRDefault="00E61FFF" w:rsidP="00E61FFF">
      <w:pPr>
        <w:pStyle w:val="ListParagraph"/>
        <w:numPr>
          <w:ilvl w:val="0"/>
          <w:numId w:val="67"/>
        </w:numPr>
        <w:spacing w:after="80"/>
        <w:contextualSpacing w:val="0"/>
      </w:pPr>
      <w:r>
        <w:t>If you are asked to pay for a treatment or trial, that is a red flag — legitimate trials do not charge participants</w:t>
      </w:r>
    </w:p>
    <w:p w14:paraId="199D5D9A" w14:textId="77777777" w:rsidR="00E61FFF" w:rsidRDefault="00E61FFF" w:rsidP="00E61FFF">
      <w:pPr>
        <w:pStyle w:val="ListParagraph"/>
        <w:numPr>
          <w:ilvl w:val="0"/>
          <w:numId w:val="67"/>
        </w:numPr>
        <w:spacing w:after="80"/>
        <w:contextualSpacing w:val="0"/>
      </w:pPr>
      <w:r>
        <w:t>Advocate for yourself: talk to your care team, stay connected to FBC, and enrol in the patient registry</w:t>
      </w:r>
    </w:p>
    <w:p w14:paraId="451CA52D" w14:textId="77777777" w:rsidR="00E61FFF" w:rsidRDefault="00E61FFF" w:rsidP="00E61FFF">
      <w:pPr>
        <w:spacing w:after="80"/>
      </w:pPr>
    </w:p>
    <w:p w14:paraId="76F98D14" w14:textId="77777777" w:rsidR="00E61FFF" w:rsidRDefault="00E61FFF" w:rsidP="00E61FFF">
      <w:pPr>
        <w:pStyle w:val="Heading2"/>
      </w:pPr>
      <w:r>
        <w:t>What You Can Do Now</w:t>
      </w:r>
    </w:p>
    <w:p w14:paraId="5EA64162" w14:textId="77777777" w:rsidR="00E61FFF" w:rsidRDefault="00E61FFF" w:rsidP="00E61FFF">
      <w:pPr>
        <w:pStyle w:val="ListParagraph"/>
        <w:numPr>
          <w:ilvl w:val="0"/>
          <w:numId w:val="67"/>
        </w:numPr>
        <w:spacing w:after="80"/>
        <w:contextualSpacing w:val="0"/>
      </w:pPr>
      <w:r>
        <w:t>Ask your ophthalmologist about genetic testing if you haven’t had it</w:t>
      </w:r>
    </w:p>
    <w:p w14:paraId="2B273607" w14:textId="77777777" w:rsidR="00E61FFF" w:rsidRDefault="00E61FFF" w:rsidP="00E61FFF">
      <w:pPr>
        <w:pStyle w:val="ListParagraph"/>
        <w:numPr>
          <w:ilvl w:val="0"/>
          <w:numId w:val="67"/>
        </w:numPr>
        <w:spacing w:after="80"/>
        <w:contextualSpacing w:val="0"/>
      </w:pPr>
      <w:r>
        <w:t>Enrol in the national IRD patient registry through your specialist or FBC</w:t>
      </w:r>
    </w:p>
    <w:p w14:paraId="1A5073D3" w14:textId="77777777" w:rsidR="00E61FFF" w:rsidRDefault="00E61FFF" w:rsidP="00E61FFF">
      <w:pPr>
        <w:pStyle w:val="ListParagraph"/>
        <w:numPr>
          <w:ilvl w:val="0"/>
          <w:numId w:val="67"/>
        </w:numPr>
        <w:spacing w:after="80"/>
        <w:contextualSpacing w:val="0"/>
      </w:pPr>
      <w:r>
        <w:t>Let your care team know you’re interested in clinical trials — regular appointments keep you in their database</w:t>
      </w:r>
    </w:p>
    <w:p w14:paraId="1B7831DB" w14:textId="77777777" w:rsidR="00E61FFF" w:rsidRDefault="00E61FFF" w:rsidP="00E61FFF">
      <w:pPr>
        <w:pStyle w:val="ListParagraph"/>
        <w:numPr>
          <w:ilvl w:val="0"/>
          <w:numId w:val="67"/>
        </w:numPr>
        <w:spacing w:after="80"/>
        <w:contextualSpacing w:val="0"/>
      </w:pPr>
      <w:r>
        <w:t>Sign up for FBC’s e-newsletter for monthly research updates</w:t>
      </w:r>
    </w:p>
    <w:p w14:paraId="6D1D6DFB" w14:textId="77777777" w:rsidR="00E61FFF" w:rsidRDefault="00E61FFF" w:rsidP="00E61FFF">
      <w:pPr>
        <w:pStyle w:val="ListParagraph"/>
        <w:numPr>
          <w:ilvl w:val="0"/>
          <w:numId w:val="67"/>
        </w:numPr>
        <w:spacing w:after="80"/>
        <w:contextualSpacing w:val="0"/>
      </w:pPr>
      <w:r>
        <w:t>Reach out to our Health Information Line at healthinfo@fightingblindness.ca for personalized support</w:t>
      </w:r>
    </w:p>
    <w:p w14:paraId="1D1124B5" w14:textId="77777777" w:rsidR="00E61FFF" w:rsidRDefault="00E61FFF" w:rsidP="00E61FFF">
      <w:pPr>
        <w:pStyle w:val="ListParagraph"/>
        <w:numPr>
          <w:ilvl w:val="0"/>
          <w:numId w:val="67"/>
        </w:numPr>
        <w:spacing w:after="80"/>
        <w:contextualSpacing w:val="0"/>
      </w:pPr>
      <w:r>
        <w:t>Connect with vision rehabilitation services to improve your daily functioning now</w:t>
      </w:r>
    </w:p>
    <w:p w14:paraId="7F95F76E" w14:textId="628FEA34" w:rsidR="4875D3CD" w:rsidRPr="00E61FFF" w:rsidRDefault="4875D3CD" w:rsidP="00E61FFF">
      <w:pPr>
        <w:rPr>
          <w:rFonts w:eastAsia="Aptos"/>
        </w:rPr>
      </w:pPr>
    </w:p>
    <w:sectPr w:rsidR="4875D3CD" w:rsidRPr="00E61FFF" w:rsidSect="008E6DC2">
      <w:headerReference w:type="default" r:id="rId13"/>
      <w:footerReference w:type="default" r:id="rId14"/>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9D4AE" w14:textId="77777777" w:rsidR="00D4042F" w:rsidRDefault="00D4042F" w:rsidP="000B1565">
      <w:r>
        <w:separator/>
      </w:r>
    </w:p>
  </w:endnote>
  <w:endnote w:type="continuationSeparator" w:id="0">
    <w:p w14:paraId="3189E380" w14:textId="77777777" w:rsidR="00D4042F" w:rsidRDefault="00D4042F"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ADAAE" w14:textId="77777777" w:rsidR="00D4042F" w:rsidRDefault="00D4042F" w:rsidP="000B1565">
      <w:r>
        <w:separator/>
      </w:r>
    </w:p>
  </w:footnote>
  <w:footnote w:type="continuationSeparator" w:id="0">
    <w:p w14:paraId="22A2224C" w14:textId="77777777" w:rsidR="00D4042F" w:rsidRDefault="00D4042F"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40EABED0"/>
    <w:lvl w:ilvl="0" w:tplc="CE3EB358">
      <w:start w:val="1"/>
      <w:numFmt w:val="bullet"/>
      <w:lvlText w:val="·"/>
      <w:lvlJc w:val="left"/>
      <w:pPr>
        <w:ind w:left="720" w:hanging="360"/>
      </w:pPr>
      <w:rPr>
        <w:rFonts w:ascii="Symbol" w:hAnsi="Symbol" w:hint="default"/>
      </w:rPr>
    </w:lvl>
    <w:lvl w:ilvl="1" w:tplc="C030A4A0">
      <w:start w:val="1"/>
      <w:numFmt w:val="bullet"/>
      <w:lvlText w:val="o"/>
      <w:lvlJc w:val="left"/>
      <w:pPr>
        <w:ind w:left="1440" w:hanging="360"/>
      </w:pPr>
      <w:rPr>
        <w:rFonts w:ascii="Courier New" w:hAnsi="Courier New" w:hint="default"/>
      </w:rPr>
    </w:lvl>
    <w:lvl w:ilvl="2" w:tplc="3BE2BD82">
      <w:start w:val="1"/>
      <w:numFmt w:val="bullet"/>
      <w:lvlText w:val=""/>
      <w:lvlJc w:val="left"/>
      <w:pPr>
        <w:ind w:left="2160" w:hanging="360"/>
      </w:pPr>
      <w:rPr>
        <w:rFonts w:ascii="Wingdings" w:hAnsi="Wingdings" w:hint="default"/>
      </w:rPr>
    </w:lvl>
    <w:lvl w:ilvl="3" w:tplc="C080A7E2">
      <w:start w:val="1"/>
      <w:numFmt w:val="bullet"/>
      <w:lvlText w:val=""/>
      <w:lvlJc w:val="left"/>
      <w:pPr>
        <w:ind w:left="2880" w:hanging="360"/>
      </w:pPr>
      <w:rPr>
        <w:rFonts w:ascii="Symbol" w:hAnsi="Symbol" w:hint="default"/>
      </w:rPr>
    </w:lvl>
    <w:lvl w:ilvl="4" w:tplc="1CA2B35E">
      <w:start w:val="1"/>
      <w:numFmt w:val="bullet"/>
      <w:lvlText w:val="o"/>
      <w:lvlJc w:val="left"/>
      <w:pPr>
        <w:ind w:left="3600" w:hanging="360"/>
      </w:pPr>
      <w:rPr>
        <w:rFonts w:ascii="Courier New" w:hAnsi="Courier New" w:hint="default"/>
      </w:rPr>
    </w:lvl>
    <w:lvl w:ilvl="5" w:tplc="A5C286AC">
      <w:start w:val="1"/>
      <w:numFmt w:val="bullet"/>
      <w:lvlText w:val=""/>
      <w:lvlJc w:val="left"/>
      <w:pPr>
        <w:ind w:left="4320" w:hanging="360"/>
      </w:pPr>
      <w:rPr>
        <w:rFonts w:ascii="Wingdings" w:hAnsi="Wingdings" w:hint="default"/>
      </w:rPr>
    </w:lvl>
    <w:lvl w:ilvl="6" w:tplc="0BCA7EA8">
      <w:start w:val="1"/>
      <w:numFmt w:val="bullet"/>
      <w:lvlText w:val=""/>
      <w:lvlJc w:val="left"/>
      <w:pPr>
        <w:ind w:left="5040" w:hanging="360"/>
      </w:pPr>
      <w:rPr>
        <w:rFonts w:ascii="Symbol" w:hAnsi="Symbol" w:hint="default"/>
      </w:rPr>
    </w:lvl>
    <w:lvl w:ilvl="7" w:tplc="7A78B1D8">
      <w:start w:val="1"/>
      <w:numFmt w:val="bullet"/>
      <w:lvlText w:val="o"/>
      <w:lvlJc w:val="left"/>
      <w:pPr>
        <w:ind w:left="5760" w:hanging="360"/>
      </w:pPr>
      <w:rPr>
        <w:rFonts w:ascii="Courier New" w:hAnsi="Courier New" w:hint="default"/>
      </w:rPr>
    </w:lvl>
    <w:lvl w:ilvl="8" w:tplc="4A16B534">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56CEB922"/>
    <w:lvl w:ilvl="0" w:tplc="FDBCA11C">
      <w:start w:val="1"/>
      <w:numFmt w:val="bullet"/>
      <w:lvlText w:val=""/>
      <w:lvlJc w:val="left"/>
      <w:pPr>
        <w:ind w:left="720" w:hanging="360"/>
      </w:pPr>
      <w:rPr>
        <w:rFonts w:ascii="Symbol" w:hAnsi="Symbol" w:hint="default"/>
      </w:rPr>
    </w:lvl>
    <w:lvl w:ilvl="1" w:tplc="345E6520">
      <w:start w:val="1"/>
      <w:numFmt w:val="bullet"/>
      <w:lvlText w:val="o"/>
      <w:lvlJc w:val="left"/>
      <w:pPr>
        <w:ind w:left="1440" w:hanging="360"/>
      </w:pPr>
      <w:rPr>
        <w:rFonts w:ascii="Courier New" w:hAnsi="Courier New" w:hint="default"/>
      </w:rPr>
    </w:lvl>
    <w:lvl w:ilvl="2" w:tplc="E82C9C46">
      <w:start w:val="1"/>
      <w:numFmt w:val="bullet"/>
      <w:lvlText w:val=""/>
      <w:lvlJc w:val="left"/>
      <w:pPr>
        <w:ind w:left="2160" w:hanging="360"/>
      </w:pPr>
      <w:rPr>
        <w:rFonts w:ascii="Wingdings" w:hAnsi="Wingdings" w:hint="default"/>
      </w:rPr>
    </w:lvl>
    <w:lvl w:ilvl="3" w:tplc="B0DEA174">
      <w:start w:val="1"/>
      <w:numFmt w:val="bullet"/>
      <w:lvlText w:val=""/>
      <w:lvlJc w:val="left"/>
      <w:pPr>
        <w:ind w:left="2880" w:hanging="360"/>
      </w:pPr>
      <w:rPr>
        <w:rFonts w:ascii="Symbol" w:hAnsi="Symbol" w:hint="default"/>
      </w:rPr>
    </w:lvl>
    <w:lvl w:ilvl="4" w:tplc="8BC4465A">
      <w:start w:val="1"/>
      <w:numFmt w:val="bullet"/>
      <w:lvlText w:val="o"/>
      <w:lvlJc w:val="left"/>
      <w:pPr>
        <w:ind w:left="3600" w:hanging="360"/>
      </w:pPr>
      <w:rPr>
        <w:rFonts w:ascii="Courier New" w:hAnsi="Courier New" w:hint="default"/>
      </w:rPr>
    </w:lvl>
    <w:lvl w:ilvl="5" w:tplc="5396071A">
      <w:start w:val="1"/>
      <w:numFmt w:val="bullet"/>
      <w:lvlText w:val=""/>
      <w:lvlJc w:val="left"/>
      <w:pPr>
        <w:ind w:left="4320" w:hanging="360"/>
      </w:pPr>
      <w:rPr>
        <w:rFonts w:ascii="Wingdings" w:hAnsi="Wingdings" w:hint="default"/>
      </w:rPr>
    </w:lvl>
    <w:lvl w:ilvl="6" w:tplc="E7A40116">
      <w:start w:val="1"/>
      <w:numFmt w:val="bullet"/>
      <w:lvlText w:val=""/>
      <w:lvlJc w:val="left"/>
      <w:pPr>
        <w:ind w:left="5040" w:hanging="360"/>
      </w:pPr>
      <w:rPr>
        <w:rFonts w:ascii="Symbol" w:hAnsi="Symbol" w:hint="default"/>
      </w:rPr>
    </w:lvl>
    <w:lvl w:ilvl="7" w:tplc="110A1312">
      <w:start w:val="1"/>
      <w:numFmt w:val="bullet"/>
      <w:lvlText w:val="o"/>
      <w:lvlJc w:val="left"/>
      <w:pPr>
        <w:ind w:left="5760" w:hanging="360"/>
      </w:pPr>
      <w:rPr>
        <w:rFonts w:ascii="Courier New" w:hAnsi="Courier New" w:hint="default"/>
      </w:rPr>
    </w:lvl>
    <w:lvl w:ilvl="8" w:tplc="08367156">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5BEAA40E"/>
    <w:lvl w:ilvl="0" w:tplc="46603706">
      <w:start w:val="1"/>
      <w:numFmt w:val="bullet"/>
      <w:lvlText w:val="·"/>
      <w:lvlJc w:val="left"/>
      <w:pPr>
        <w:ind w:left="720" w:hanging="360"/>
      </w:pPr>
      <w:rPr>
        <w:rFonts w:ascii="Symbol" w:hAnsi="Symbol" w:hint="default"/>
      </w:rPr>
    </w:lvl>
    <w:lvl w:ilvl="1" w:tplc="378AF3A2">
      <w:start w:val="1"/>
      <w:numFmt w:val="bullet"/>
      <w:lvlText w:val="o"/>
      <w:lvlJc w:val="left"/>
      <w:pPr>
        <w:ind w:left="1440" w:hanging="360"/>
      </w:pPr>
      <w:rPr>
        <w:rFonts w:ascii="Courier New" w:hAnsi="Courier New" w:hint="default"/>
      </w:rPr>
    </w:lvl>
    <w:lvl w:ilvl="2" w:tplc="2EEA2DAA">
      <w:start w:val="1"/>
      <w:numFmt w:val="bullet"/>
      <w:lvlText w:val=""/>
      <w:lvlJc w:val="left"/>
      <w:pPr>
        <w:ind w:left="2160" w:hanging="360"/>
      </w:pPr>
      <w:rPr>
        <w:rFonts w:ascii="Wingdings" w:hAnsi="Wingdings" w:hint="default"/>
      </w:rPr>
    </w:lvl>
    <w:lvl w:ilvl="3" w:tplc="329C1624">
      <w:start w:val="1"/>
      <w:numFmt w:val="bullet"/>
      <w:lvlText w:val=""/>
      <w:lvlJc w:val="left"/>
      <w:pPr>
        <w:ind w:left="2880" w:hanging="360"/>
      </w:pPr>
      <w:rPr>
        <w:rFonts w:ascii="Symbol" w:hAnsi="Symbol" w:hint="default"/>
      </w:rPr>
    </w:lvl>
    <w:lvl w:ilvl="4" w:tplc="A0BCBB52">
      <w:start w:val="1"/>
      <w:numFmt w:val="bullet"/>
      <w:lvlText w:val="o"/>
      <w:lvlJc w:val="left"/>
      <w:pPr>
        <w:ind w:left="3600" w:hanging="360"/>
      </w:pPr>
      <w:rPr>
        <w:rFonts w:ascii="Courier New" w:hAnsi="Courier New" w:hint="default"/>
      </w:rPr>
    </w:lvl>
    <w:lvl w:ilvl="5" w:tplc="C8A27110">
      <w:start w:val="1"/>
      <w:numFmt w:val="bullet"/>
      <w:lvlText w:val=""/>
      <w:lvlJc w:val="left"/>
      <w:pPr>
        <w:ind w:left="4320" w:hanging="360"/>
      </w:pPr>
      <w:rPr>
        <w:rFonts w:ascii="Wingdings" w:hAnsi="Wingdings" w:hint="default"/>
      </w:rPr>
    </w:lvl>
    <w:lvl w:ilvl="6" w:tplc="F6F607E2">
      <w:start w:val="1"/>
      <w:numFmt w:val="bullet"/>
      <w:lvlText w:val=""/>
      <w:lvlJc w:val="left"/>
      <w:pPr>
        <w:ind w:left="5040" w:hanging="360"/>
      </w:pPr>
      <w:rPr>
        <w:rFonts w:ascii="Symbol" w:hAnsi="Symbol" w:hint="default"/>
      </w:rPr>
    </w:lvl>
    <w:lvl w:ilvl="7" w:tplc="E516FC36">
      <w:start w:val="1"/>
      <w:numFmt w:val="bullet"/>
      <w:lvlText w:val="o"/>
      <w:lvlJc w:val="left"/>
      <w:pPr>
        <w:ind w:left="5760" w:hanging="360"/>
      </w:pPr>
      <w:rPr>
        <w:rFonts w:ascii="Courier New" w:hAnsi="Courier New" w:hint="default"/>
      </w:rPr>
    </w:lvl>
    <w:lvl w:ilvl="8" w:tplc="6E88F148">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F397AEE"/>
    <w:multiLevelType w:val="hybridMultilevel"/>
    <w:tmpl w:val="B6B83BB8"/>
    <w:lvl w:ilvl="0" w:tplc="7C7C1434">
      <w:start w:val="1"/>
      <w:numFmt w:val="bullet"/>
      <w:lvlText w:val="•"/>
      <w:lvlJc w:val="left"/>
      <w:pPr>
        <w:ind w:left="720" w:hanging="360"/>
      </w:pPr>
    </w:lvl>
    <w:lvl w:ilvl="1" w:tplc="54E8BFB2">
      <w:numFmt w:val="decimal"/>
      <w:lvlText w:val=""/>
      <w:lvlJc w:val="left"/>
    </w:lvl>
    <w:lvl w:ilvl="2" w:tplc="9F38BF9C">
      <w:numFmt w:val="decimal"/>
      <w:lvlText w:val=""/>
      <w:lvlJc w:val="left"/>
    </w:lvl>
    <w:lvl w:ilvl="3" w:tplc="63E24C00">
      <w:numFmt w:val="decimal"/>
      <w:lvlText w:val=""/>
      <w:lvlJc w:val="left"/>
    </w:lvl>
    <w:lvl w:ilvl="4" w:tplc="238E77D6">
      <w:numFmt w:val="decimal"/>
      <w:lvlText w:val=""/>
      <w:lvlJc w:val="left"/>
    </w:lvl>
    <w:lvl w:ilvl="5" w:tplc="CF905A06">
      <w:numFmt w:val="decimal"/>
      <w:lvlText w:val=""/>
      <w:lvlJc w:val="left"/>
    </w:lvl>
    <w:lvl w:ilvl="6" w:tplc="25022A8E">
      <w:numFmt w:val="decimal"/>
      <w:lvlText w:val=""/>
      <w:lvlJc w:val="left"/>
    </w:lvl>
    <w:lvl w:ilvl="7" w:tplc="F7E48F1A">
      <w:numFmt w:val="decimal"/>
      <w:lvlText w:val=""/>
      <w:lvlJc w:val="left"/>
    </w:lvl>
    <w:lvl w:ilvl="8" w:tplc="3B8E1156">
      <w:numFmt w:val="decimal"/>
      <w:lvlText w:val=""/>
      <w:lvlJc w:val="left"/>
    </w:lvl>
  </w:abstractNum>
  <w:abstractNum w:abstractNumId="18"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1E26CCE"/>
    <w:multiLevelType w:val="hybridMultilevel"/>
    <w:tmpl w:val="039016F4"/>
    <w:lvl w:ilvl="0" w:tplc="D98434D6">
      <w:start w:val="1"/>
      <w:numFmt w:val="bullet"/>
      <w:lvlText w:val=""/>
      <w:lvlJc w:val="left"/>
      <w:pPr>
        <w:ind w:left="720" w:hanging="360"/>
      </w:pPr>
      <w:rPr>
        <w:rFonts w:ascii="Symbol" w:hAnsi="Symbol" w:hint="default"/>
      </w:rPr>
    </w:lvl>
    <w:lvl w:ilvl="1" w:tplc="5874B234">
      <w:start w:val="1"/>
      <w:numFmt w:val="bullet"/>
      <w:lvlText w:val="o"/>
      <w:lvlJc w:val="left"/>
      <w:pPr>
        <w:ind w:left="1440" w:hanging="360"/>
      </w:pPr>
      <w:rPr>
        <w:rFonts w:ascii="Courier New" w:hAnsi="Courier New" w:hint="default"/>
      </w:rPr>
    </w:lvl>
    <w:lvl w:ilvl="2" w:tplc="046A9254">
      <w:start w:val="1"/>
      <w:numFmt w:val="bullet"/>
      <w:lvlText w:val=""/>
      <w:lvlJc w:val="left"/>
      <w:pPr>
        <w:ind w:left="2160" w:hanging="360"/>
      </w:pPr>
      <w:rPr>
        <w:rFonts w:ascii="Wingdings" w:hAnsi="Wingdings" w:hint="default"/>
      </w:rPr>
    </w:lvl>
    <w:lvl w:ilvl="3" w:tplc="35E061F4">
      <w:start w:val="1"/>
      <w:numFmt w:val="bullet"/>
      <w:lvlText w:val=""/>
      <w:lvlJc w:val="left"/>
      <w:pPr>
        <w:ind w:left="2880" w:hanging="360"/>
      </w:pPr>
      <w:rPr>
        <w:rFonts w:ascii="Symbol" w:hAnsi="Symbol" w:hint="default"/>
      </w:rPr>
    </w:lvl>
    <w:lvl w:ilvl="4" w:tplc="472CD446">
      <w:start w:val="1"/>
      <w:numFmt w:val="bullet"/>
      <w:lvlText w:val="o"/>
      <w:lvlJc w:val="left"/>
      <w:pPr>
        <w:ind w:left="3600" w:hanging="360"/>
      </w:pPr>
      <w:rPr>
        <w:rFonts w:ascii="Courier New" w:hAnsi="Courier New" w:hint="default"/>
      </w:rPr>
    </w:lvl>
    <w:lvl w:ilvl="5" w:tplc="1E6437C4">
      <w:start w:val="1"/>
      <w:numFmt w:val="bullet"/>
      <w:lvlText w:val=""/>
      <w:lvlJc w:val="left"/>
      <w:pPr>
        <w:ind w:left="4320" w:hanging="360"/>
      </w:pPr>
      <w:rPr>
        <w:rFonts w:ascii="Wingdings" w:hAnsi="Wingdings" w:hint="default"/>
      </w:rPr>
    </w:lvl>
    <w:lvl w:ilvl="6" w:tplc="A9826912">
      <w:start w:val="1"/>
      <w:numFmt w:val="bullet"/>
      <w:lvlText w:val=""/>
      <w:lvlJc w:val="left"/>
      <w:pPr>
        <w:ind w:left="5040" w:hanging="360"/>
      </w:pPr>
      <w:rPr>
        <w:rFonts w:ascii="Symbol" w:hAnsi="Symbol" w:hint="default"/>
      </w:rPr>
    </w:lvl>
    <w:lvl w:ilvl="7" w:tplc="729086F8">
      <w:start w:val="1"/>
      <w:numFmt w:val="bullet"/>
      <w:lvlText w:val="o"/>
      <w:lvlJc w:val="left"/>
      <w:pPr>
        <w:ind w:left="5760" w:hanging="360"/>
      </w:pPr>
      <w:rPr>
        <w:rFonts w:ascii="Courier New" w:hAnsi="Courier New" w:hint="default"/>
      </w:rPr>
    </w:lvl>
    <w:lvl w:ilvl="8" w:tplc="45AE6F30">
      <w:start w:val="1"/>
      <w:numFmt w:val="bullet"/>
      <w:lvlText w:val=""/>
      <w:lvlJc w:val="left"/>
      <w:pPr>
        <w:ind w:left="6480" w:hanging="360"/>
      </w:pPr>
      <w:rPr>
        <w:rFonts w:ascii="Wingdings" w:hAnsi="Wingdings" w:hint="default"/>
      </w:rPr>
    </w:lvl>
  </w:abstractNum>
  <w:abstractNum w:abstractNumId="20"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3959023"/>
    <w:multiLevelType w:val="hybridMultilevel"/>
    <w:tmpl w:val="6D12E5D2"/>
    <w:lvl w:ilvl="0" w:tplc="6F64A6D6">
      <w:start w:val="1"/>
      <w:numFmt w:val="bullet"/>
      <w:lvlText w:val="·"/>
      <w:lvlJc w:val="left"/>
      <w:pPr>
        <w:ind w:left="720" w:hanging="360"/>
      </w:pPr>
      <w:rPr>
        <w:rFonts w:ascii="Symbol" w:hAnsi="Symbol" w:hint="default"/>
      </w:rPr>
    </w:lvl>
    <w:lvl w:ilvl="1" w:tplc="04687AEE">
      <w:start w:val="1"/>
      <w:numFmt w:val="bullet"/>
      <w:lvlText w:val="o"/>
      <w:lvlJc w:val="left"/>
      <w:pPr>
        <w:ind w:left="1440" w:hanging="360"/>
      </w:pPr>
      <w:rPr>
        <w:rFonts w:ascii="Courier New" w:hAnsi="Courier New" w:hint="default"/>
      </w:rPr>
    </w:lvl>
    <w:lvl w:ilvl="2" w:tplc="626A0FBA">
      <w:start w:val="1"/>
      <w:numFmt w:val="bullet"/>
      <w:lvlText w:val=""/>
      <w:lvlJc w:val="left"/>
      <w:pPr>
        <w:ind w:left="2160" w:hanging="360"/>
      </w:pPr>
      <w:rPr>
        <w:rFonts w:ascii="Wingdings" w:hAnsi="Wingdings" w:hint="default"/>
      </w:rPr>
    </w:lvl>
    <w:lvl w:ilvl="3" w:tplc="9CBEB334">
      <w:start w:val="1"/>
      <w:numFmt w:val="bullet"/>
      <w:lvlText w:val=""/>
      <w:lvlJc w:val="left"/>
      <w:pPr>
        <w:ind w:left="2880" w:hanging="360"/>
      </w:pPr>
      <w:rPr>
        <w:rFonts w:ascii="Symbol" w:hAnsi="Symbol" w:hint="default"/>
      </w:rPr>
    </w:lvl>
    <w:lvl w:ilvl="4" w:tplc="4552EFC8">
      <w:start w:val="1"/>
      <w:numFmt w:val="bullet"/>
      <w:lvlText w:val="o"/>
      <w:lvlJc w:val="left"/>
      <w:pPr>
        <w:ind w:left="3600" w:hanging="360"/>
      </w:pPr>
      <w:rPr>
        <w:rFonts w:ascii="Courier New" w:hAnsi="Courier New" w:hint="default"/>
      </w:rPr>
    </w:lvl>
    <w:lvl w:ilvl="5" w:tplc="6E4E1E2C">
      <w:start w:val="1"/>
      <w:numFmt w:val="bullet"/>
      <w:lvlText w:val=""/>
      <w:lvlJc w:val="left"/>
      <w:pPr>
        <w:ind w:left="4320" w:hanging="360"/>
      </w:pPr>
      <w:rPr>
        <w:rFonts w:ascii="Wingdings" w:hAnsi="Wingdings" w:hint="default"/>
      </w:rPr>
    </w:lvl>
    <w:lvl w:ilvl="6" w:tplc="F98AE176">
      <w:start w:val="1"/>
      <w:numFmt w:val="bullet"/>
      <w:lvlText w:val=""/>
      <w:lvlJc w:val="left"/>
      <w:pPr>
        <w:ind w:left="5040" w:hanging="360"/>
      </w:pPr>
      <w:rPr>
        <w:rFonts w:ascii="Symbol" w:hAnsi="Symbol" w:hint="default"/>
      </w:rPr>
    </w:lvl>
    <w:lvl w:ilvl="7" w:tplc="079E79B6">
      <w:start w:val="1"/>
      <w:numFmt w:val="bullet"/>
      <w:lvlText w:val="o"/>
      <w:lvlJc w:val="left"/>
      <w:pPr>
        <w:ind w:left="5760" w:hanging="360"/>
      </w:pPr>
      <w:rPr>
        <w:rFonts w:ascii="Courier New" w:hAnsi="Courier New" w:hint="default"/>
      </w:rPr>
    </w:lvl>
    <w:lvl w:ilvl="8" w:tplc="B9021378">
      <w:start w:val="1"/>
      <w:numFmt w:val="bullet"/>
      <w:lvlText w:val=""/>
      <w:lvlJc w:val="left"/>
      <w:pPr>
        <w:ind w:left="6480" w:hanging="360"/>
      </w:pPr>
      <w:rPr>
        <w:rFonts w:ascii="Wingdings" w:hAnsi="Wingdings" w:hint="default"/>
      </w:rPr>
    </w:lvl>
  </w:abstractNum>
  <w:abstractNum w:abstractNumId="22"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8"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9"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1"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862A9C68"/>
    <w:lvl w:ilvl="0" w:tplc="F2487D4C">
      <w:start w:val="1"/>
      <w:numFmt w:val="bullet"/>
      <w:lvlText w:val=""/>
      <w:lvlJc w:val="left"/>
      <w:pPr>
        <w:ind w:left="720" w:hanging="360"/>
      </w:pPr>
      <w:rPr>
        <w:rFonts w:ascii="Symbol" w:hAnsi="Symbol" w:hint="default"/>
      </w:rPr>
    </w:lvl>
    <w:lvl w:ilvl="1" w:tplc="637CFA04">
      <w:start w:val="1"/>
      <w:numFmt w:val="bullet"/>
      <w:lvlText w:val="o"/>
      <w:lvlJc w:val="left"/>
      <w:pPr>
        <w:ind w:left="1440" w:hanging="360"/>
      </w:pPr>
      <w:rPr>
        <w:rFonts w:ascii="Courier New" w:hAnsi="Courier New" w:hint="default"/>
      </w:rPr>
    </w:lvl>
    <w:lvl w:ilvl="2" w:tplc="FDC4E3A4">
      <w:start w:val="1"/>
      <w:numFmt w:val="bullet"/>
      <w:lvlText w:val=""/>
      <w:lvlJc w:val="left"/>
      <w:pPr>
        <w:ind w:left="2160" w:hanging="360"/>
      </w:pPr>
      <w:rPr>
        <w:rFonts w:ascii="Wingdings" w:hAnsi="Wingdings" w:hint="default"/>
      </w:rPr>
    </w:lvl>
    <w:lvl w:ilvl="3" w:tplc="868C37A8">
      <w:start w:val="1"/>
      <w:numFmt w:val="bullet"/>
      <w:lvlText w:val=""/>
      <w:lvlJc w:val="left"/>
      <w:pPr>
        <w:ind w:left="2880" w:hanging="360"/>
      </w:pPr>
      <w:rPr>
        <w:rFonts w:ascii="Symbol" w:hAnsi="Symbol" w:hint="default"/>
      </w:rPr>
    </w:lvl>
    <w:lvl w:ilvl="4" w:tplc="87B01086">
      <w:start w:val="1"/>
      <w:numFmt w:val="bullet"/>
      <w:lvlText w:val="o"/>
      <w:lvlJc w:val="left"/>
      <w:pPr>
        <w:ind w:left="3600" w:hanging="360"/>
      </w:pPr>
      <w:rPr>
        <w:rFonts w:ascii="Courier New" w:hAnsi="Courier New" w:hint="default"/>
      </w:rPr>
    </w:lvl>
    <w:lvl w:ilvl="5" w:tplc="271E36DA">
      <w:start w:val="1"/>
      <w:numFmt w:val="bullet"/>
      <w:lvlText w:val=""/>
      <w:lvlJc w:val="left"/>
      <w:pPr>
        <w:ind w:left="4320" w:hanging="360"/>
      </w:pPr>
      <w:rPr>
        <w:rFonts w:ascii="Wingdings" w:hAnsi="Wingdings" w:hint="default"/>
      </w:rPr>
    </w:lvl>
    <w:lvl w:ilvl="6" w:tplc="B4081C88">
      <w:start w:val="1"/>
      <w:numFmt w:val="bullet"/>
      <w:lvlText w:val=""/>
      <w:lvlJc w:val="left"/>
      <w:pPr>
        <w:ind w:left="5040" w:hanging="360"/>
      </w:pPr>
      <w:rPr>
        <w:rFonts w:ascii="Symbol" w:hAnsi="Symbol" w:hint="default"/>
      </w:rPr>
    </w:lvl>
    <w:lvl w:ilvl="7" w:tplc="E85EEABA">
      <w:start w:val="1"/>
      <w:numFmt w:val="bullet"/>
      <w:lvlText w:val="o"/>
      <w:lvlJc w:val="left"/>
      <w:pPr>
        <w:ind w:left="5760" w:hanging="360"/>
      </w:pPr>
      <w:rPr>
        <w:rFonts w:ascii="Courier New" w:hAnsi="Courier New" w:hint="default"/>
      </w:rPr>
    </w:lvl>
    <w:lvl w:ilvl="8" w:tplc="7B2263C0">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60D2EB2A"/>
    <w:lvl w:ilvl="0" w:tplc="62E8DFB0">
      <w:start w:val="1"/>
      <w:numFmt w:val="bullet"/>
      <w:lvlText w:val="·"/>
      <w:lvlJc w:val="left"/>
      <w:pPr>
        <w:ind w:left="720" w:hanging="360"/>
      </w:pPr>
      <w:rPr>
        <w:rFonts w:ascii="Symbol" w:hAnsi="Symbol" w:hint="default"/>
      </w:rPr>
    </w:lvl>
    <w:lvl w:ilvl="1" w:tplc="1896ABB2">
      <w:start w:val="1"/>
      <w:numFmt w:val="bullet"/>
      <w:lvlText w:val="o"/>
      <w:lvlJc w:val="left"/>
      <w:pPr>
        <w:ind w:left="1440" w:hanging="360"/>
      </w:pPr>
      <w:rPr>
        <w:rFonts w:ascii="Courier New" w:hAnsi="Courier New" w:hint="default"/>
      </w:rPr>
    </w:lvl>
    <w:lvl w:ilvl="2" w:tplc="5868F124">
      <w:start w:val="1"/>
      <w:numFmt w:val="bullet"/>
      <w:lvlText w:val=""/>
      <w:lvlJc w:val="left"/>
      <w:pPr>
        <w:ind w:left="2160" w:hanging="360"/>
      </w:pPr>
      <w:rPr>
        <w:rFonts w:ascii="Wingdings" w:hAnsi="Wingdings" w:hint="default"/>
      </w:rPr>
    </w:lvl>
    <w:lvl w:ilvl="3" w:tplc="960236A2">
      <w:start w:val="1"/>
      <w:numFmt w:val="bullet"/>
      <w:lvlText w:val=""/>
      <w:lvlJc w:val="left"/>
      <w:pPr>
        <w:ind w:left="2880" w:hanging="360"/>
      </w:pPr>
      <w:rPr>
        <w:rFonts w:ascii="Symbol" w:hAnsi="Symbol" w:hint="default"/>
      </w:rPr>
    </w:lvl>
    <w:lvl w:ilvl="4" w:tplc="2D02F112">
      <w:start w:val="1"/>
      <w:numFmt w:val="bullet"/>
      <w:lvlText w:val="o"/>
      <w:lvlJc w:val="left"/>
      <w:pPr>
        <w:ind w:left="3600" w:hanging="360"/>
      </w:pPr>
      <w:rPr>
        <w:rFonts w:ascii="Courier New" w:hAnsi="Courier New" w:hint="default"/>
      </w:rPr>
    </w:lvl>
    <w:lvl w:ilvl="5" w:tplc="C12EB8DC">
      <w:start w:val="1"/>
      <w:numFmt w:val="bullet"/>
      <w:lvlText w:val=""/>
      <w:lvlJc w:val="left"/>
      <w:pPr>
        <w:ind w:left="4320" w:hanging="360"/>
      </w:pPr>
      <w:rPr>
        <w:rFonts w:ascii="Wingdings" w:hAnsi="Wingdings" w:hint="default"/>
      </w:rPr>
    </w:lvl>
    <w:lvl w:ilvl="6" w:tplc="743209A8">
      <w:start w:val="1"/>
      <w:numFmt w:val="bullet"/>
      <w:lvlText w:val=""/>
      <w:lvlJc w:val="left"/>
      <w:pPr>
        <w:ind w:left="5040" w:hanging="360"/>
      </w:pPr>
      <w:rPr>
        <w:rFonts w:ascii="Symbol" w:hAnsi="Symbol" w:hint="default"/>
      </w:rPr>
    </w:lvl>
    <w:lvl w:ilvl="7" w:tplc="D94A6FD2">
      <w:start w:val="1"/>
      <w:numFmt w:val="bullet"/>
      <w:lvlText w:val="o"/>
      <w:lvlJc w:val="left"/>
      <w:pPr>
        <w:ind w:left="5760" w:hanging="360"/>
      </w:pPr>
      <w:rPr>
        <w:rFonts w:ascii="Courier New" w:hAnsi="Courier New" w:hint="default"/>
      </w:rPr>
    </w:lvl>
    <w:lvl w:ilvl="8" w:tplc="3CCAA26E">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4101075">
    <w:abstractNumId w:val="9"/>
  </w:num>
  <w:num w:numId="2" w16cid:durableId="123891355">
    <w:abstractNumId w:val="19"/>
  </w:num>
  <w:num w:numId="3" w16cid:durableId="1051416095">
    <w:abstractNumId w:val="55"/>
  </w:num>
  <w:num w:numId="4" w16cid:durableId="1679120037">
    <w:abstractNumId w:val="56"/>
  </w:num>
  <w:num w:numId="5" w16cid:durableId="1972781177">
    <w:abstractNumId w:val="21"/>
  </w:num>
  <w:num w:numId="6" w16cid:durableId="894198178">
    <w:abstractNumId w:val="0"/>
  </w:num>
  <w:num w:numId="7" w16cid:durableId="2038458201">
    <w:abstractNumId w:val="12"/>
  </w:num>
  <w:num w:numId="8" w16cid:durableId="359938888">
    <w:abstractNumId w:val="26"/>
  </w:num>
  <w:num w:numId="9" w16cid:durableId="2058046269">
    <w:abstractNumId w:val="27"/>
  </w:num>
  <w:num w:numId="10" w16cid:durableId="2062436532">
    <w:abstractNumId w:val="50"/>
  </w:num>
  <w:num w:numId="11" w16cid:durableId="189340715">
    <w:abstractNumId w:val="53"/>
  </w:num>
  <w:num w:numId="12" w16cid:durableId="433019725">
    <w:abstractNumId w:val="10"/>
  </w:num>
  <w:num w:numId="13" w16cid:durableId="1342703354">
    <w:abstractNumId w:val="47"/>
  </w:num>
  <w:num w:numId="14" w16cid:durableId="1079517115">
    <w:abstractNumId w:val="18"/>
  </w:num>
  <w:num w:numId="15" w16cid:durableId="502400854">
    <w:abstractNumId w:val="41"/>
  </w:num>
  <w:num w:numId="16" w16cid:durableId="992174072">
    <w:abstractNumId w:val="1"/>
  </w:num>
  <w:num w:numId="17" w16cid:durableId="752974009">
    <w:abstractNumId w:val="58"/>
  </w:num>
  <w:num w:numId="18" w16cid:durableId="2069724314">
    <w:abstractNumId w:val="23"/>
  </w:num>
  <w:num w:numId="19" w16cid:durableId="70139660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7"/>
  </w:num>
  <w:num w:numId="22" w16cid:durableId="1990866201">
    <w:abstractNumId w:val="63"/>
  </w:num>
  <w:num w:numId="23" w16cid:durableId="1383670213">
    <w:abstractNumId w:val="64"/>
  </w:num>
  <w:num w:numId="24" w16cid:durableId="536966053">
    <w:abstractNumId w:val="35"/>
  </w:num>
  <w:num w:numId="25" w16cid:durableId="587888265">
    <w:abstractNumId w:val="51"/>
  </w:num>
  <w:num w:numId="26" w16cid:durableId="738480671">
    <w:abstractNumId w:val="4"/>
  </w:num>
  <w:num w:numId="27" w16cid:durableId="641813605">
    <w:abstractNumId w:val="32"/>
  </w:num>
  <w:num w:numId="28" w16cid:durableId="638418867">
    <w:abstractNumId w:val="29"/>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1"/>
  </w:num>
  <w:num w:numId="35" w16cid:durableId="284507956">
    <w:abstractNumId w:val="36"/>
  </w:num>
  <w:num w:numId="36" w16cid:durableId="2122332413">
    <w:abstractNumId w:val="30"/>
  </w:num>
  <w:num w:numId="37" w16cid:durableId="291131759">
    <w:abstractNumId w:val="44"/>
  </w:num>
  <w:num w:numId="38" w16cid:durableId="2023705799">
    <w:abstractNumId w:val="60"/>
  </w:num>
  <w:num w:numId="39" w16cid:durableId="1364937685">
    <w:abstractNumId w:val="28"/>
  </w:num>
  <w:num w:numId="40" w16cid:durableId="917593128">
    <w:abstractNumId w:val="2"/>
  </w:num>
  <w:num w:numId="41" w16cid:durableId="1835996074">
    <w:abstractNumId w:val="13"/>
  </w:num>
  <w:num w:numId="42" w16cid:durableId="1066881715">
    <w:abstractNumId w:val="38"/>
  </w:num>
  <w:num w:numId="43" w16cid:durableId="1117486444">
    <w:abstractNumId w:val="43"/>
  </w:num>
  <w:num w:numId="44" w16cid:durableId="1319966603">
    <w:abstractNumId w:val="16"/>
  </w:num>
  <w:num w:numId="45" w16cid:durableId="916092872">
    <w:abstractNumId w:val="52"/>
  </w:num>
  <w:num w:numId="46" w16cid:durableId="19012701">
    <w:abstractNumId w:val="39"/>
  </w:num>
  <w:num w:numId="47" w16cid:durableId="176844848">
    <w:abstractNumId w:val="11"/>
  </w:num>
  <w:num w:numId="48" w16cid:durableId="1596787005">
    <w:abstractNumId w:val="42"/>
  </w:num>
  <w:num w:numId="49" w16cid:durableId="1306273099">
    <w:abstractNumId w:val="3"/>
  </w:num>
  <w:num w:numId="50" w16cid:durableId="1210653922">
    <w:abstractNumId w:val="40"/>
  </w:num>
  <w:num w:numId="51" w16cid:durableId="590819369">
    <w:abstractNumId w:val="20"/>
  </w:num>
  <w:num w:numId="52" w16cid:durableId="429468612">
    <w:abstractNumId w:val="14"/>
  </w:num>
  <w:num w:numId="53" w16cid:durableId="222104333">
    <w:abstractNumId w:val="22"/>
  </w:num>
  <w:num w:numId="54" w16cid:durableId="685132344">
    <w:abstractNumId w:val="7"/>
  </w:num>
  <w:num w:numId="55" w16cid:durableId="1791775550">
    <w:abstractNumId w:val="49"/>
  </w:num>
  <w:num w:numId="56" w16cid:durableId="1721706577">
    <w:abstractNumId w:val="34"/>
  </w:num>
  <w:num w:numId="57" w16cid:durableId="1313365766">
    <w:abstractNumId w:val="65"/>
  </w:num>
  <w:num w:numId="58" w16cid:durableId="1055859572">
    <w:abstractNumId w:val="46"/>
  </w:num>
  <w:num w:numId="59" w16cid:durableId="1194687209">
    <w:abstractNumId w:val="24"/>
  </w:num>
  <w:num w:numId="60" w16cid:durableId="226885737">
    <w:abstractNumId w:val="33"/>
  </w:num>
  <w:num w:numId="61" w16cid:durableId="1176724317">
    <w:abstractNumId w:val="45"/>
  </w:num>
  <w:num w:numId="62" w16cid:durableId="226845333">
    <w:abstractNumId w:val="48"/>
  </w:num>
  <w:num w:numId="63" w16cid:durableId="1155684386">
    <w:abstractNumId w:val="59"/>
  </w:num>
  <w:num w:numId="64" w16cid:durableId="970208203">
    <w:abstractNumId w:val="37"/>
  </w:num>
  <w:num w:numId="65" w16cid:durableId="1296519098">
    <w:abstractNumId w:val="54"/>
  </w:num>
  <w:num w:numId="66" w16cid:durableId="1859998552">
    <w:abstractNumId w:val="25"/>
  </w:num>
  <w:num w:numId="67" w16cid:durableId="226653051">
    <w:abstractNumId w:val="1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8689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69C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71D5F"/>
    <w:rsid w:val="00483A73"/>
    <w:rsid w:val="004A4A7A"/>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C0A34"/>
    <w:rsid w:val="006C35EE"/>
    <w:rsid w:val="006E0FA0"/>
    <w:rsid w:val="006E372F"/>
    <w:rsid w:val="00741192"/>
    <w:rsid w:val="0078332D"/>
    <w:rsid w:val="00792F4D"/>
    <w:rsid w:val="007A6F89"/>
    <w:rsid w:val="007E2525"/>
    <w:rsid w:val="007F3381"/>
    <w:rsid w:val="007F5B30"/>
    <w:rsid w:val="008161AE"/>
    <w:rsid w:val="00826199"/>
    <w:rsid w:val="00840C2F"/>
    <w:rsid w:val="0084118E"/>
    <w:rsid w:val="008475E1"/>
    <w:rsid w:val="0085042B"/>
    <w:rsid w:val="008558BA"/>
    <w:rsid w:val="00873DDA"/>
    <w:rsid w:val="008822EF"/>
    <w:rsid w:val="00886D98"/>
    <w:rsid w:val="00887BD0"/>
    <w:rsid w:val="008C4F9B"/>
    <w:rsid w:val="008D1313"/>
    <w:rsid w:val="008E119F"/>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86EF6"/>
    <w:rsid w:val="00992065"/>
    <w:rsid w:val="009A7811"/>
    <w:rsid w:val="009C34B9"/>
    <w:rsid w:val="009C400C"/>
    <w:rsid w:val="009C470C"/>
    <w:rsid w:val="009D584D"/>
    <w:rsid w:val="009E2DAB"/>
    <w:rsid w:val="00A01A44"/>
    <w:rsid w:val="00A24835"/>
    <w:rsid w:val="00A32281"/>
    <w:rsid w:val="00A71837"/>
    <w:rsid w:val="00A77884"/>
    <w:rsid w:val="00A80D63"/>
    <w:rsid w:val="00A82376"/>
    <w:rsid w:val="00AC3E82"/>
    <w:rsid w:val="00AC60CF"/>
    <w:rsid w:val="00AE6D47"/>
    <w:rsid w:val="00AF03CD"/>
    <w:rsid w:val="00B34376"/>
    <w:rsid w:val="00B444AD"/>
    <w:rsid w:val="00B447EE"/>
    <w:rsid w:val="00B50882"/>
    <w:rsid w:val="00B5404C"/>
    <w:rsid w:val="00B56691"/>
    <w:rsid w:val="00B71D8B"/>
    <w:rsid w:val="00BE07CC"/>
    <w:rsid w:val="00BE1043"/>
    <w:rsid w:val="00BE7F74"/>
    <w:rsid w:val="00BF41AB"/>
    <w:rsid w:val="00BF6AE1"/>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253B3"/>
    <w:rsid w:val="00D301E2"/>
    <w:rsid w:val="00D4042F"/>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46006"/>
    <w:rsid w:val="00E56B24"/>
    <w:rsid w:val="00E56EE5"/>
    <w:rsid w:val="00E61FFF"/>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23D7"/>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althinfo@fightingblindness.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2.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4.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0</TotalTime>
  <Pages>5</Pages>
  <Words>1801</Words>
  <Characters>9096</Characters>
  <Application>Microsoft Office Word</Application>
  <DocSecurity>0</DocSecurity>
  <Lines>275</Lines>
  <Paragraphs>125</Paragraphs>
  <ScaleCrop>false</ScaleCrop>
  <Company/>
  <LinksUpToDate>false</LinksUpToDate>
  <CharactersWithSpaces>10772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Ushany Kanagendiran</cp:lastModifiedBy>
  <cp:revision>27</cp:revision>
  <cp:lastPrinted>2019-06-07T18:48:00Z</cp:lastPrinted>
  <dcterms:created xsi:type="dcterms:W3CDTF">2025-01-10T16:35:00Z</dcterms:created>
  <dcterms:modified xsi:type="dcterms:W3CDTF">2026-04-23T18:56:00Z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