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C0A34" w:rsidP="00886D98" w:rsidRDefault="006C0A34" w14:paraId="1E358067" w14:textId="77777777">
      <w:pPr>
        <w:pStyle w:val="Title"/>
      </w:pPr>
      <w:r>
        <w:t>IRD Coffee Connections – Vancouver</w:t>
      </w:r>
    </w:p>
    <w:p w:rsidR="006C0A34" w:rsidP="006C0A34" w:rsidRDefault="006C0A34" w14:paraId="058BAAFD" w14:textId="38FEB09A">
      <w:pPr>
        <w:spacing w:after="240"/>
      </w:pPr>
      <w:r>
        <w:rPr>
          <w:b/>
          <w:bCs/>
        </w:rPr>
        <w:t xml:space="preserve">Speakers: </w:t>
      </w:r>
      <w:r>
        <w:t>Morgan Ineson; Dr. Kirill Zaslavsky</w:t>
      </w:r>
    </w:p>
    <w:p w:rsidR="001912B3" w:rsidP="006C0A34" w:rsidRDefault="001912B3" w14:paraId="2FAC3B31" w14:textId="7C11F2A2">
      <w:pPr>
        <w:spacing w:after="240"/>
      </w:pPr>
      <w:r w:rsidRPr="001912B3">
        <w:t xml:space="preserve">If you have questions about your diagnosis or would like support finding resources, please contact the Fighting Blindness Canada Health Information Line at </w:t>
      </w:r>
      <w:hyperlink w:history="1" r:id="rId11">
        <w:r w:rsidRPr="001912B3">
          <w:rPr>
            <w:rStyle w:val="Hyperlink"/>
            <w:b/>
            <w:bCs/>
          </w:rPr>
          <w:t>healthinfo@fightingblindness.ca</w:t>
        </w:r>
      </w:hyperlink>
      <w:r w:rsidRPr="001912B3">
        <w:t xml:space="preserve"> or by phone. Our team is available to help you navigate your condition, find relevant clinical trials, and connect you with trusted information and support.</w:t>
      </w:r>
    </w:p>
    <w:p w:rsidR="006C0A34" w:rsidP="006C0A34" w:rsidRDefault="006C0A34" w14:paraId="5A2B6EE5" w14:textId="77777777">
      <w:pPr>
        <w:pStyle w:val="Heading1"/>
      </w:pPr>
      <w:r>
        <w:t>Expert Discussion</w:t>
      </w:r>
    </w:p>
    <w:p w:rsidR="006C0A34" w:rsidP="006C0A34" w:rsidRDefault="006C0A34" w14:paraId="4F4A2FDE" w14:textId="77777777">
      <w:pPr>
        <w:pStyle w:val="Heading2"/>
      </w:pPr>
      <w:r>
        <w:t>Overview and Disclaimer</w:t>
      </w:r>
    </w:p>
    <w:p w:rsidR="006C0A34" w:rsidP="006C0A34" w:rsidRDefault="006C0A34" w14:paraId="6C1B27F8" w14:textId="1359AC48">
      <w:pPr>
        <w:spacing w:after="120"/>
      </w:pPr>
      <w:r>
        <w:rPr>
          <w:b/>
          <w:bCs/>
        </w:rPr>
        <w:t xml:space="preserve">Morgan Ineson: </w:t>
      </w:r>
      <w:r>
        <w:t xml:space="preserve">Tonight’s program will have a few parts. We’ll start with an overview of IRDs and research with our special guest, Dr. Kirill Zaslavsky, then open the floor to your questions. </w:t>
      </w:r>
    </w:p>
    <w:p w:rsidR="006C0A34" w:rsidP="006C0A34" w:rsidRDefault="006C0A34" w14:paraId="68D94A81" w14:textId="77777777">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rsidR="006C0A34" w:rsidP="006C0A34" w:rsidRDefault="006C0A34" w14:paraId="730C28FA" w14:textId="77777777">
      <w:pPr>
        <w:spacing w:after="120"/>
      </w:pPr>
      <w:r>
        <w:t>Dr. Kirill Zaslavsky is a vitreoretinal surgery fellow at UBC with an MD PhD from the University of Toronto. His research on inherited retinal diseases — including work at Massachusetts Eye and Ear — uses large biobanks to study IRD gene penetrance and highlight opportunities for gene-agnostic therapies. He brings a wide perspective spanning lab research, clinical genetics, and surgical care. Welcome, Dr. Zaslavsky.</w:t>
      </w:r>
    </w:p>
    <w:p w:rsidR="006C0A34" w:rsidP="006C0A34" w:rsidRDefault="006C0A34" w14:paraId="348CF129" w14:textId="77777777">
      <w:pPr>
        <w:spacing w:after="80"/>
      </w:pPr>
    </w:p>
    <w:p w:rsidR="006C0A34" w:rsidP="006C0A34" w:rsidRDefault="006C0A34" w14:paraId="1E0C92EE" w14:textId="77777777">
      <w:pPr>
        <w:pStyle w:val="Heading2"/>
      </w:pPr>
      <w:r>
        <w:t>What Are Inherited Retinal Diseases?</w:t>
      </w:r>
    </w:p>
    <w:p w:rsidR="006C0A34" w:rsidP="006C0A34" w:rsidRDefault="006C0A34" w14:paraId="636D708D" w14:textId="77777777">
      <w:pPr>
        <w:spacing w:after="120"/>
      </w:pPr>
      <w:r>
        <w:rPr>
          <w:b/>
          <w:bCs/>
        </w:rPr>
        <w:t xml:space="preserve">Morgan Ineson: </w:t>
      </w:r>
      <w:r>
        <w:t>Could you give us a simple overview of what IRDs are and what they have in common?</w:t>
      </w:r>
    </w:p>
    <w:p w:rsidR="006C0A34" w:rsidP="006C0A34" w:rsidRDefault="006C0A34" w14:paraId="7883C4FC" w14:textId="77777777">
      <w:pPr>
        <w:spacing w:after="120"/>
      </w:pPr>
      <w:r>
        <w:rPr>
          <w:b/>
          <w:bCs/>
        </w:rPr>
        <w:t xml:space="preserve">Dr. Kirill Zaslavsky: </w:t>
      </w:r>
      <w:r>
        <w:t xml:space="preserve">Inherited retinal degenerations, or IRDs, are conditions that are passed down genetically and cause progressive degeneration of the retina — in most cases very slowly. That’s where the simple part ends, because there are now nearly 300 different genes associated with IRDs, meaning there is significant diversity in what people experience, even among those who share the same broad diagnosis. Two people in this room who both have RP </w:t>
      </w:r>
      <w:proofErr w:type="gramStart"/>
      <w:r>
        <w:t>likely</w:t>
      </w:r>
      <w:proofErr w:type="gramEnd"/>
      <w:r>
        <w:t xml:space="preserve"> have different genetic variants causing it.</w:t>
      </w:r>
    </w:p>
    <w:p w:rsidR="006C0A34" w:rsidP="006C0A34" w:rsidRDefault="006C0A34" w14:paraId="7228E9BC" w14:textId="77777777">
      <w:pPr>
        <w:spacing w:after="120"/>
      </w:pPr>
      <w:r>
        <w:t>That diversity has an enormous impact. In Commonwealth countries like Australia and the UK, IRDs are the leading cause of legal blindness claims in the working-age population.</w:t>
      </w:r>
    </w:p>
    <w:p w:rsidR="006C0A34" w:rsidP="006C0A34" w:rsidRDefault="006C0A34" w14:paraId="269BCA9C" w14:textId="77777777">
      <w:pPr>
        <w:spacing w:after="120"/>
      </w:pPr>
      <w:r>
        <w:t xml:space="preserve">The retina is essentially a piece of central nervous system tissue that lines the inner wall of the eye. Light is focused on the very </w:t>
      </w:r>
      <w:proofErr w:type="spellStart"/>
      <w:r>
        <w:t>centre</w:t>
      </w:r>
      <w:proofErr w:type="spellEnd"/>
      <w:r>
        <w:t xml:space="preserve"> — the macula — which gives us detailed </w:t>
      </w:r>
      <w:proofErr w:type="spellStart"/>
      <w:r>
        <w:t>colour</w:t>
      </w:r>
      <w:proofErr w:type="spellEnd"/>
      <w:r>
        <w:t xml:space="preserve"> vision. The sides of the retina support peripheral vision. The </w:t>
      </w:r>
      <w:proofErr w:type="spellStart"/>
      <w:r>
        <w:t>centre</w:t>
      </w:r>
      <w:proofErr w:type="spellEnd"/>
      <w:r>
        <w:t xml:space="preserve"> is rich in cone </w:t>
      </w:r>
      <w:proofErr w:type="gramStart"/>
      <w:r>
        <w:t>photoreceptors;</w:t>
      </w:r>
      <w:proofErr w:type="gramEnd"/>
      <w:r>
        <w:t xml:space="preserve"> the periphery in rod photoreceptors.</w:t>
      </w:r>
    </w:p>
    <w:p w:rsidR="006C0A34" w:rsidP="006C0A34" w:rsidRDefault="006C0A34" w14:paraId="41B87925" w14:textId="77777777">
      <w:pPr>
        <w:spacing w:after="120"/>
      </w:pPr>
      <w:r>
        <w:lastRenderedPageBreak/>
        <w:t xml:space="preserve">Retinitis pigmentosa is a rod-cone dystrophy, meaning the rods are usually more affected than the cones. The hallmark symptoms are difficulty with night vision and progressive loss of peripheral vision, while central vision is typically preserved until later stages. Stargardt disease is more of a cone-dominant condition, affecting central vision first — blurry central vision, </w:t>
      </w:r>
      <w:proofErr w:type="gramStart"/>
      <w:r>
        <w:t>a developing blind spot</w:t>
      </w:r>
      <w:proofErr w:type="gramEnd"/>
      <w:r>
        <w:t xml:space="preserve"> in the </w:t>
      </w:r>
      <w:proofErr w:type="spellStart"/>
      <w:r>
        <w:t>centre</w:t>
      </w:r>
      <w:proofErr w:type="spellEnd"/>
      <w:r>
        <w:t xml:space="preserve">, and difficulty distinguishing </w:t>
      </w:r>
      <w:proofErr w:type="spellStart"/>
      <w:r>
        <w:t>colours</w:t>
      </w:r>
      <w:proofErr w:type="spellEnd"/>
      <w:r>
        <w:t xml:space="preserve">. Achromatopsia is an extreme example of a cone disorder: complete </w:t>
      </w:r>
      <w:proofErr w:type="spellStart"/>
      <w:r>
        <w:t>colour</w:t>
      </w:r>
      <w:proofErr w:type="spellEnd"/>
      <w:r>
        <w:t xml:space="preserve"> blindness, inability to see sharp detail, and significant light sensitivity.</w:t>
      </w:r>
    </w:p>
    <w:p w:rsidR="006C0A34" w:rsidP="006C0A34" w:rsidRDefault="006C0A34" w14:paraId="5D0C5C4D" w14:textId="77777777">
      <w:pPr>
        <w:spacing w:after="80"/>
      </w:pPr>
    </w:p>
    <w:p w:rsidR="006C0A34" w:rsidP="006C0A34" w:rsidRDefault="006C0A34" w14:paraId="3E3DEA56" w14:textId="77777777">
      <w:pPr>
        <w:pStyle w:val="Heading2"/>
      </w:pPr>
      <w:r>
        <w:t>Why Genetic Testing Matters</w:t>
      </w:r>
    </w:p>
    <w:p w:rsidR="006C0A34" w:rsidP="006C0A34" w:rsidRDefault="006C0A34" w14:paraId="6853C273" w14:textId="77777777">
      <w:pPr>
        <w:spacing w:after="120"/>
      </w:pPr>
      <w:r>
        <w:rPr>
          <w:b/>
          <w:bCs/>
        </w:rPr>
        <w:t xml:space="preserve">Morgan Ineson: </w:t>
      </w:r>
      <w:r>
        <w:t>Genetic testing is often a key part of the journey for someone diagnosed with an IRD. Can you explain why it’s important and how it can impact care?</w:t>
      </w:r>
    </w:p>
    <w:p w:rsidR="006C0A34" w:rsidP="006C0A34" w:rsidRDefault="006C0A34" w14:paraId="7057B47A" w14:textId="77777777">
      <w:pPr>
        <w:spacing w:after="120"/>
      </w:pPr>
      <w:r>
        <w:rPr>
          <w:b/>
          <w:bCs/>
        </w:rPr>
        <w:t xml:space="preserve">Dr. Kirill Zaslavsky: </w:t>
      </w:r>
      <w:r>
        <w:t>The American Academy of Ophthalmology now considers genetic testing the standard of care for IRDs. Many new therapies being developed are gene-specific — meaning they only work for people with a particular genetic variant. Without knowing your specific mutation, you would not be eligible for those treatments, whether through clinical trials or eventual approval.</w:t>
      </w:r>
    </w:p>
    <w:p w:rsidR="006C0A34" w:rsidP="006C0A34" w:rsidRDefault="006C0A34" w14:paraId="6FB3B270" w14:textId="77777777">
      <w:pPr>
        <w:spacing w:after="120"/>
      </w:pPr>
      <w:r>
        <w:t xml:space="preserve">There’s an important nuance that large-scale research </w:t>
      </w:r>
      <w:proofErr w:type="gramStart"/>
      <w:r>
        <w:t>is revealing</w:t>
      </w:r>
      <w:proofErr w:type="gramEnd"/>
      <w:r>
        <w:t xml:space="preserve">. Traditionally, we thought of genetics as a </w:t>
      </w:r>
      <w:proofErr w:type="gramStart"/>
      <w:r>
        <w:t>fairly one-to-one</w:t>
      </w:r>
      <w:proofErr w:type="gramEnd"/>
      <w:r>
        <w:t xml:space="preserve"> mapping: you have the gene </w:t>
      </w:r>
      <w:proofErr w:type="gramStart"/>
      <w:r>
        <w:t>variant,</w:t>
      </w:r>
      <w:proofErr w:type="gramEnd"/>
      <w:r>
        <w:t xml:space="preserve"> therefore you develop the disease. But when we look at large biobanks — datasets of hundreds of thousands of people with linked genetic and clinical data — we can ask the reverse question: find people who carry gene variants associated with IRDs, and check whether they </w:t>
      </w:r>
      <w:proofErr w:type="gramStart"/>
      <w:r>
        <w:t>actually have</w:t>
      </w:r>
      <w:proofErr w:type="gramEnd"/>
      <w:r>
        <w:t xml:space="preserve"> the condition. The answer is often no. Penetrance — the likelihood that having a gene variant leads to disease — is much lower than traditionally assumed. This tells us there is enormous biological diversity influencing who develops disease and how </w:t>
      </w:r>
      <w:proofErr w:type="gramStart"/>
      <w:r>
        <w:t>severely, and</w:t>
      </w:r>
      <w:proofErr w:type="gramEnd"/>
      <w:r>
        <w:t xml:space="preserve"> understanding what modifies that risk is going to be a major driver of future research.</w:t>
      </w:r>
    </w:p>
    <w:p w:rsidR="006C0A34" w:rsidP="006C0A34" w:rsidRDefault="006C0A34" w14:paraId="5BD17849" w14:textId="77777777">
      <w:pPr>
        <w:spacing w:after="120"/>
      </w:pPr>
      <w:r>
        <w:t xml:space="preserve">Genetic testing can also help clarify diagnoses. Conditions that look like inherited retinal degeneration can sometimes be mistaken for acquired or autoimmune conditions, leading to unnecessary investigations and treatments. A confirmed genetic result can spare </w:t>
      </w:r>
      <w:proofErr w:type="gramStart"/>
      <w:r>
        <w:t>patients from</w:t>
      </w:r>
      <w:proofErr w:type="gramEnd"/>
      <w:r>
        <w:t xml:space="preserve"> a great deal of that.</w:t>
      </w:r>
    </w:p>
    <w:p w:rsidR="006C0A34" w:rsidP="006C0A34" w:rsidRDefault="006C0A34" w14:paraId="0E005D44" w14:textId="77777777">
      <w:pPr>
        <w:spacing w:after="120"/>
      </w:pPr>
      <w:r>
        <w:rPr>
          <w:b/>
          <w:bCs/>
        </w:rPr>
        <w:t xml:space="preserve">Morgan Ineson: </w:t>
      </w:r>
      <w:r>
        <w:t>It can even change a diagnosis someone has already been given?</w:t>
      </w:r>
    </w:p>
    <w:p w:rsidR="006C0A34" w:rsidP="006C0A34" w:rsidRDefault="006C0A34" w14:paraId="3F06BDE3" w14:textId="77777777">
      <w:pPr>
        <w:spacing w:after="120"/>
      </w:pPr>
      <w:r>
        <w:rPr>
          <w:b/>
          <w:bCs/>
        </w:rPr>
        <w:t xml:space="preserve">Dr. Kirill Zaslavsky: </w:t>
      </w:r>
      <w:r>
        <w:t>Absolutely — that happens quite regularly. A diagnosis made years ago based on clinical appearance alone may be revised or refined once genetic information is available.</w:t>
      </w:r>
    </w:p>
    <w:p w:rsidR="006C0A34" w:rsidP="006C0A34" w:rsidRDefault="006C0A34" w14:paraId="00AF928C" w14:textId="77777777">
      <w:pPr>
        <w:spacing w:after="80"/>
      </w:pPr>
    </w:p>
    <w:p w:rsidR="006C0A34" w:rsidP="006C0A34" w:rsidRDefault="006C0A34" w14:paraId="6A95B99B" w14:textId="77777777">
      <w:pPr>
        <w:pStyle w:val="Heading2"/>
      </w:pPr>
      <w:r>
        <w:lastRenderedPageBreak/>
        <w:t>Research Approaches: Neuroprotection, Gene-Specific, and Gene-Agnostic Therapies</w:t>
      </w:r>
    </w:p>
    <w:p w:rsidR="006C0A34" w:rsidP="006C0A34" w:rsidRDefault="006C0A34" w14:paraId="0CFE6AB8" w14:textId="77777777">
      <w:pPr>
        <w:spacing w:after="120"/>
      </w:pPr>
      <w:r>
        <w:rPr>
          <w:b/>
          <w:bCs/>
        </w:rPr>
        <w:t xml:space="preserve">Morgan Ineson: </w:t>
      </w:r>
      <w:r>
        <w:t xml:space="preserve">Currently there is </w:t>
      </w:r>
      <w:proofErr w:type="gramStart"/>
      <w:r>
        <w:t>really only</w:t>
      </w:r>
      <w:proofErr w:type="gramEnd"/>
      <w:r>
        <w:t xml:space="preserve"> one approved, proven treatment for IRDs. But there is a lot of research underway. Can you give us a high-level overview of the types of treatments being investigated?</w:t>
      </w:r>
    </w:p>
    <w:p w:rsidR="006C0A34" w:rsidP="006C0A34" w:rsidRDefault="006C0A34" w14:paraId="1750DA01" w14:textId="77777777">
      <w:pPr>
        <w:spacing w:after="120"/>
      </w:pPr>
      <w:r>
        <w:rPr>
          <w:b/>
          <w:bCs/>
        </w:rPr>
        <w:t xml:space="preserve">Dr. Kirill Zaslavsky: </w:t>
      </w:r>
      <w:r>
        <w:t>There are a couple of useful ways to organize the research landscape. The first is neuroprotection versus vision restoration. Neuroprotection means keeping what you have — slowing progression so you hold onto existing vision as long as possible. Vision restoration means trying to recover vision that has already been lost.</w:t>
      </w:r>
    </w:p>
    <w:p w:rsidR="006C0A34" w:rsidP="006C0A34" w:rsidRDefault="006C0A34" w14:paraId="13C824F1" w14:textId="77777777">
      <w:pPr>
        <w:spacing w:after="120"/>
      </w:pPr>
      <w:r>
        <w:t>The second way to divide things is gene-specific versus gene-agnostic. Gene-specific treatments are designed for people with a particular genetic mutation. Gene-agnostic treatments are designed to work regardless of which gene is causing the disease.</w:t>
      </w:r>
    </w:p>
    <w:p w:rsidR="006C0A34" w:rsidP="006C0A34" w:rsidRDefault="006C0A34" w14:paraId="003DFD75" w14:textId="77777777">
      <w:pPr>
        <w:spacing w:after="120"/>
      </w:pPr>
      <w:r>
        <w:t xml:space="preserve">The only currently approved gene therapy is Luxturna, which targets RPE65 mutations. It was approved by the FDA in 2017 and is the only gene-specific treatment that has </w:t>
      </w:r>
      <w:proofErr w:type="gramStart"/>
      <w:r>
        <w:t>actually improved</w:t>
      </w:r>
      <w:proofErr w:type="gramEnd"/>
      <w:r>
        <w:t xml:space="preserve"> vision — more on what makes it a special case shortly. Since then, over 20 different gene-specific targets have been tried in clinical trials. The safety record has been reasonable, but none have yet reached approval.</w:t>
      </w:r>
    </w:p>
    <w:p w:rsidR="006C0A34" w:rsidP="006C0A34" w:rsidRDefault="006C0A34" w14:paraId="6531250D" w14:textId="77777777">
      <w:pPr>
        <w:spacing w:after="120"/>
      </w:pPr>
      <w:r>
        <w:t xml:space="preserve">On the gene-agnostic side, two approaches worth knowing about are OC-400 and </w:t>
      </w:r>
      <w:proofErr w:type="spellStart"/>
      <w:r>
        <w:t>SparingVision</w:t>
      </w:r>
      <w:proofErr w:type="spellEnd"/>
      <w:r>
        <w:t xml:space="preserve"> — gene therapies designed to keep remaining retinal cells alive longer, regardless of which gene is causing the disease. There is also a large phase three trial currently underway, organized by the National Institutes of Health in the US, looking at N-acetylcysteine. This is a powerful antioxidant that is already an approved treatment for Tylenol overdose. Early-phase clinical data suggested it may slow RP progression. The phase three trial involves about 500 people over four years. If it proves effective, it would be an oral medication — no surgery or injections required.</w:t>
      </w:r>
    </w:p>
    <w:p w:rsidR="006C0A34" w:rsidP="006C0A34" w:rsidRDefault="006C0A34" w14:paraId="296762BB" w14:textId="77777777">
      <w:pPr>
        <w:spacing w:after="120"/>
      </w:pPr>
      <w:r>
        <w:rPr>
          <w:b/>
          <w:bCs/>
        </w:rPr>
        <w:t xml:space="preserve">Morgan Ineson: </w:t>
      </w:r>
      <w:r>
        <w:t>That’s exciting because it’s a pill, not a surgical procedure.</w:t>
      </w:r>
    </w:p>
    <w:p w:rsidR="006C0A34" w:rsidP="006C0A34" w:rsidRDefault="006C0A34" w14:paraId="7E435D39" w14:textId="77777777">
      <w:pPr>
        <w:spacing w:after="120"/>
      </w:pPr>
      <w:r>
        <w:rPr>
          <w:b/>
          <w:bCs/>
        </w:rPr>
        <w:t xml:space="preserve">Dr. Kirill Zaslavsky: </w:t>
      </w:r>
      <w:r>
        <w:t>Exactly — no surgical risk, and if it proves safe and effective, that would be genuinely meaningful for people with RP.</w:t>
      </w:r>
    </w:p>
    <w:p w:rsidR="006C0A34" w:rsidP="006C0A34" w:rsidRDefault="006C0A34" w14:paraId="795C43DF" w14:textId="77777777">
      <w:pPr>
        <w:spacing w:after="80"/>
      </w:pPr>
    </w:p>
    <w:p w:rsidR="006C0A34" w:rsidP="006C0A34" w:rsidRDefault="006C0A34" w14:paraId="63A4BF11" w14:textId="77777777">
      <w:pPr>
        <w:pStyle w:val="Heading2"/>
      </w:pPr>
      <w:r>
        <w:t>Q&amp;A: The Role of AI in IRD Research</w:t>
      </w:r>
    </w:p>
    <w:p w:rsidR="006C0A34" w:rsidP="006C0A34" w:rsidRDefault="006C0A34" w14:paraId="4242CF29" w14:textId="77777777">
      <w:pPr>
        <w:spacing w:after="120"/>
      </w:pPr>
      <w:r>
        <w:rPr>
          <w:b/>
          <w:bCs/>
        </w:rPr>
        <w:t xml:space="preserve">Audience member: </w:t>
      </w:r>
      <w:r>
        <w:t>What are your thoughts on AI and the impact it might have on IRD research?</w:t>
      </w:r>
    </w:p>
    <w:p w:rsidR="006C0A34" w:rsidP="006C0A34" w:rsidRDefault="006C0A34" w14:paraId="18122586" w14:textId="77777777">
      <w:pPr>
        <w:spacing w:after="120"/>
      </w:pPr>
      <w:r>
        <w:rPr>
          <w:b/>
          <w:bCs/>
        </w:rPr>
        <w:t xml:space="preserve">Dr. Kirill Zaslavsky: </w:t>
      </w:r>
      <w:r>
        <w:t xml:space="preserve">AI is already making a significant impact. One example: if you show expert IRD specialists retinal images and ask them to identify which of five genes might be responsible, they’ll be right about 30% of the time. A well-trained AI model can reach around 80%. AI is particularly good at taking large amounts of disparate data and mapping it </w:t>
      </w:r>
      <w:proofErr w:type="gramStart"/>
      <w:r>
        <w:t>to</w:t>
      </w:r>
      <w:proofErr w:type="gramEnd"/>
      <w:r>
        <w:t xml:space="preserve"> fine-grained </w:t>
      </w:r>
      <w:r>
        <w:lastRenderedPageBreak/>
        <w:t>categories — not just ‘this looks like RP’ but ‘this looks like this specific gene.’ That could make genetic identification more accessible. In the 30 to 40% of cases where genetic testing is currently inconclusive, AI may help identify where to look next.</w:t>
      </w:r>
    </w:p>
    <w:p w:rsidR="006C0A34" w:rsidP="006C0A34" w:rsidRDefault="006C0A34" w14:paraId="0B36400D" w14:textId="77777777">
      <w:pPr>
        <w:spacing w:after="80"/>
      </w:pPr>
    </w:p>
    <w:p w:rsidR="006C0A34" w:rsidP="006C0A34" w:rsidRDefault="006C0A34" w14:paraId="3B43F94E" w14:textId="77777777">
      <w:pPr>
        <w:pStyle w:val="Heading2"/>
      </w:pPr>
      <w:r>
        <w:t>Q&amp;A: Are All Forms of RP Caused by Misfolded Proteins?</w:t>
      </w:r>
    </w:p>
    <w:p w:rsidR="006C0A34" w:rsidP="006C0A34" w:rsidRDefault="006C0A34" w14:paraId="39C00339" w14:textId="77777777">
      <w:pPr>
        <w:spacing w:after="120"/>
      </w:pPr>
      <w:r>
        <w:rPr>
          <w:b/>
          <w:bCs/>
        </w:rPr>
        <w:t xml:space="preserve">Audience member: </w:t>
      </w:r>
      <w:r>
        <w:t>With so many types of RP, are they all caused by misfolded proteins affecting the photoreceptors?</w:t>
      </w:r>
    </w:p>
    <w:p w:rsidR="006C0A34" w:rsidP="006C0A34" w:rsidRDefault="006C0A34" w14:paraId="16486C0A" w14:textId="77777777">
      <w:pPr>
        <w:spacing w:after="120"/>
      </w:pPr>
      <w:r>
        <w:rPr>
          <w:b/>
          <w:bCs/>
        </w:rPr>
        <w:t xml:space="preserve">Dr. Kirill Zaslavsky: </w:t>
      </w:r>
      <w:r>
        <w:t xml:space="preserve">RP is really a clinical name given to a pattern clinicians observed — </w:t>
      </w:r>
      <w:proofErr w:type="gramStart"/>
      <w:r>
        <w:t>the end result</w:t>
      </w:r>
      <w:proofErr w:type="gramEnd"/>
      <w:r>
        <w:t xml:space="preserve"> of retinal degeneration — not a single disease with one mechanism. There are many different pathways that can lead to that same clinical picture. Protein misfolding is one of them — certain dominant rhodopsin mutations cause disease primarily through misfolding, and there is now a company developing an oral medication targeting that specific pathway. But RPE65, the gene behind Luxturna, is completely different: it’s not a misfolded protein, it’s a missing enzyme essential for the visual cycle. Some IRD genes encode enzymes, some are transcription factors that regulate many other genes, and some involve mechanisms we don’t yet fully understand. RP is really an umbrella for many different molecular mechanisms that happen to share a similar clinical presentation.</w:t>
      </w:r>
    </w:p>
    <w:p w:rsidR="006C0A34" w:rsidP="006C0A34" w:rsidRDefault="006C0A34" w14:paraId="7365764D" w14:textId="77777777">
      <w:pPr>
        <w:spacing w:after="80"/>
      </w:pPr>
    </w:p>
    <w:p w:rsidR="006C0A34" w:rsidP="006C0A34" w:rsidRDefault="006C0A34" w14:paraId="16784A6E" w14:textId="77777777">
      <w:pPr>
        <w:pStyle w:val="Heading2"/>
      </w:pPr>
      <w:r>
        <w:t>Q&amp;A: OC-400 and the Risks of Unregulated Treatments</w:t>
      </w:r>
    </w:p>
    <w:p w:rsidR="006C0A34" w:rsidP="006C0A34" w:rsidRDefault="006C0A34" w14:paraId="1FCC2B84" w14:textId="77777777">
      <w:pPr>
        <w:spacing w:after="120"/>
      </w:pPr>
      <w:r>
        <w:rPr>
          <w:b/>
          <w:bCs/>
        </w:rPr>
        <w:t xml:space="preserve">Audience member: </w:t>
      </w:r>
      <w:r>
        <w:t>I was screened for an OC-400 clinical trial but didn’t qualify. I’ve heard it may have received FDA approval in the US, and that patients there can pay for the surgery and follow-up. Is that accurate?</w:t>
      </w:r>
    </w:p>
    <w:p w:rsidR="006C0A34" w:rsidP="006C0A34" w:rsidRDefault="006C0A34" w14:paraId="76AE1A5A" w14:textId="77777777">
      <w:pPr>
        <w:spacing w:after="120"/>
      </w:pPr>
      <w:r>
        <w:rPr>
          <w:b/>
          <w:bCs/>
        </w:rPr>
        <w:t xml:space="preserve">Dr. Kirill Zaslavsky: </w:t>
      </w:r>
      <w:r>
        <w:t>As far as I’m aware, OC-400 has not received full FDA approval. What you may be hearing about is an expanded access program — a regulatory pathway that allows access to investigational treatments outside of a formal trial in exceptional circumstances. That is not the same as approval. The treatment has not completed phase three trials. I would approach this with real caution. Gene therapy involves surgery, and if you undergo it outside a formal trial, it may exclude you from future clinical trials — including trials that might specifically target your gene. That is a significant trade-off. And being asked to pay for an investigational treatment is always a red flag.</w:t>
      </w:r>
    </w:p>
    <w:p w:rsidR="006C0A34" w:rsidP="006C0A34" w:rsidRDefault="006C0A34" w14:paraId="1035DFC4" w14:textId="77777777">
      <w:pPr>
        <w:spacing w:after="120"/>
      </w:pPr>
      <w:r>
        <w:rPr>
          <w:b/>
          <w:bCs/>
        </w:rPr>
        <w:t xml:space="preserve">Morgan Ineson: </w:t>
      </w:r>
      <w:r>
        <w:t xml:space="preserve">This comes up with stem cells too. There are clinics — particularly in the US — that offer stem cell treatments for </w:t>
      </w:r>
      <w:proofErr w:type="gramStart"/>
      <w:r>
        <w:t>retinal</w:t>
      </w:r>
      <w:proofErr w:type="gramEnd"/>
      <w:r>
        <w:t xml:space="preserve"> conditions, </w:t>
      </w:r>
      <w:proofErr w:type="gramStart"/>
      <w:r>
        <w:t>take</w:t>
      </w:r>
      <w:proofErr w:type="gramEnd"/>
      <w:r>
        <w:t xml:space="preserve"> cells from your body, and </w:t>
      </w:r>
      <w:proofErr w:type="gramStart"/>
      <w:r>
        <w:t>inject</w:t>
      </w:r>
      <w:proofErr w:type="gramEnd"/>
      <w:r>
        <w:t xml:space="preserve"> them into your eye. These are not approved treatments. If someone </w:t>
      </w:r>
      <w:proofErr w:type="gramStart"/>
      <w:r>
        <w:t>is asking</w:t>
      </w:r>
      <w:proofErr w:type="gramEnd"/>
      <w:r>
        <w:t xml:space="preserve"> you to pay, that is the clearest red flag. In a legitimate clinical trial, patients are never charged — you are contributing your time and your body to science, and no one should expect you to pay for that. These unregulated procedures can cause serious harm.</w:t>
      </w:r>
    </w:p>
    <w:p w:rsidR="006C0A34" w:rsidP="006C0A34" w:rsidRDefault="006C0A34" w14:paraId="7DD6196C" w14:textId="77777777">
      <w:pPr>
        <w:spacing w:after="120"/>
      </w:pPr>
      <w:r>
        <w:rPr>
          <w:b/>
          <w:bCs/>
        </w:rPr>
        <w:lastRenderedPageBreak/>
        <w:t xml:space="preserve">Dr. Kirill Zaslavsky: </w:t>
      </w:r>
      <w:r>
        <w:t xml:space="preserve">Agreed. And to add on the stem cell side: there is a company called </w:t>
      </w:r>
      <w:proofErr w:type="spellStart"/>
      <w:r>
        <w:t>jCyte</w:t>
      </w:r>
      <w:proofErr w:type="spellEnd"/>
      <w:r>
        <w:t xml:space="preserve"> that has had some legitimate progress, and you don’t pay for their trials. The core idea is that injecting certain cells releases signaling molecules that may help keep existing retinal cells alive and functional longer — a neuroprotective approach rather than true replacement. They’re in phase two/three trials. The jury is still out, but it’s a legitimate area of investigation.</w:t>
      </w:r>
    </w:p>
    <w:p w:rsidR="006C0A34" w:rsidP="006C0A34" w:rsidRDefault="006C0A34" w14:paraId="199A3F6B" w14:textId="77777777">
      <w:pPr>
        <w:spacing w:after="80"/>
      </w:pPr>
    </w:p>
    <w:p w:rsidR="006C0A34" w:rsidP="006C0A34" w:rsidRDefault="006C0A34" w14:paraId="4D7FB706" w14:textId="77777777">
      <w:pPr>
        <w:pStyle w:val="Heading2"/>
      </w:pPr>
      <w:r>
        <w:t>Q&amp;A: Luxturna — What Makes It Special, and Who Does It Help?</w:t>
      </w:r>
    </w:p>
    <w:p w:rsidR="006C0A34" w:rsidP="006C0A34" w:rsidRDefault="006C0A34" w14:paraId="379D4223" w14:textId="77777777">
      <w:pPr>
        <w:spacing w:after="120"/>
      </w:pPr>
      <w:r>
        <w:rPr>
          <w:b/>
          <w:bCs/>
        </w:rPr>
        <w:t xml:space="preserve">Audience member: </w:t>
      </w:r>
      <w:r>
        <w:t xml:space="preserve">I understood Luxturna would stop RP progression but not restore sight. My father’s retinal specialist said he was too advanced for it to help. Can you explain what it does and who it’s </w:t>
      </w:r>
      <w:proofErr w:type="gramStart"/>
      <w:r>
        <w:t>actually for</w:t>
      </w:r>
      <w:proofErr w:type="gramEnd"/>
      <w:r>
        <w:t>?</w:t>
      </w:r>
    </w:p>
    <w:p w:rsidR="006C0A34" w:rsidP="006C0A34" w:rsidRDefault="006C0A34" w14:paraId="26FF1434" w14:textId="77777777">
      <w:pPr>
        <w:spacing w:after="120"/>
      </w:pPr>
      <w:r>
        <w:rPr>
          <w:b/>
          <w:bCs/>
        </w:rPr>
        <w:t xml:space="preserve">Dr. Kirill Zaslavsky: </w:t>
      </w:r>
      <w:r>
        <w:t xml:space="preserve">Luxturna is only for people who have mutations in the RPE65 gene specifically — it is not a treatment for RP in general. RPE65 is an enzyme that is critical for the vitamin A cycle, which is essential for vision. When RPE65 is mutated, the visual cycle cannot generate the products that retinal cells need to detect light. What makes RPE65 a special case is that there is often a prolonged period where the retinal structure is still largely intact — all the components are there, but they’re not working because one critical enzyme is missing. Delivering that gene restores the enzyme, which restores the cycle, which restores function. That’s why Luxturna </w:t>
      </w:r>
      <w:proofErr w:type="gramStart"/>
      <w:r>
        <w:t>actually improved</w:t>
      </w:r>
      <w:proofErr w:type="gramEnd"/>
      <w:r>
        <w:t xml:space="preserve"> vision rather than just slowing progression.</w:t>
      </w:r>
    </w:p>
    <w:p w:rsidR="006C0A34" w:rsidP="006C0A34" w:rsidRDefault="006C0A34" w14:paraId="22B6E06A" w14:textId="77777777">
      <w:pPr>
        <w:spacing w:after="120"/>
      </w:pPr>
      <w:r>
        <w:t xml:space="preserve">The famous early trials had people with RPE65 mutations </w:t>
      </w:r>
      <w:proofErr w:type="gramStart"/>
      <w:r>
        <w:t>navigate</w:t>
      </w:r>
      <w:proofErr w:type="gramEnd"/>
      <w:r>
        <w:t xml:space="preserve"> a maze at varying light levels. Before treatment, even at relatively bright light levels, they couldn’t do it. After treatment, even at lower light levels, they could — and subjects reported seeing </w:t>
      </w:r>
      <w:proofErr w:type="spellStart"/>
      <w:r>
        <w:t>colours</w:t>
      </w:r>
      <w:proofErr w:type="spellEnd"/>
      <w:r>
        <w:t xml:space="preserve"> and having much more confidence in darker environments. That effect has largely persisted, though there may be some waning over time, raising the possibility of a second injection down the line.</w:t>
      </w:r>
    </w:p>
    <w:p w:rsidR="006C0A34" w:rsidP="006C0A34" w:rsidRDefault="006C0A34" w14:paraId="5CCC0DF6" w14:textId="77777777">
      <w:pPr>
        <w:spacing w:after="120"/>
      </w:pPr>
      <w:r>
        <w:t>This structure-function dissociation — where the structure is present but non-functional — is what made Luxturna work so well. It doesn’t necessarily hold for other IRDs, where degeneration is more advanced by the time of diagnosis. That’s also why Luxturna set a very high bar that subsequent gene therapies have struggled to meet. In terms of numbers, RPE65 mutations affect about 1% or less of people with RP — roughly 50 to 60 people in all of Canada. It’s a very rare variant.</w:t>
      </w:r>
    </w:p>
    <w:p w:rsidR="006C0A34" w:rsidP="006C0A34" w:rsidRDefault="006C0A34" w14:paraId="1B406CD6" w14:textId="77777777">
      <w:pPr>
        <w:spacing w:after="120"/>
      </w:pPr>
      <w:r>
        <w:rPr>
          <w:b/>
          <w:bCs/>
        </w:rPr>
        <w:t xml:space="preserve">Morgan Ineson: </w:t>
      </w:r>
      <w:r>
        <w:t xml:space="preserve">Someone asked me once why this was the first one if it only affects such a small group. Part of the answer is that there happened to be dogs with RPE65 mutations that naturally developed this condition, which allowed researchers to study and develop </w:t>
      </w:r>
      <w:proofErr w:type="gramStart"/>
      <w:r>
        <w:t>the gene</w:t>
      </w:r>
      <w:proofErr w:type="gramEnd"/>
      <w:r>
        <w:t xml:space="preserve"> therapy in a strong animal model. That’s partly a stroke of luck, but it provided the proof of concept that gene therapy for a genetic condition could </w:t>
      </w:r>
      <w:proofErr w:type="gramStart"/>
      <w:r>
        <w:t>actually improve</w:t>
      </w:r>
      <w:proofErr w:type="gramEnd"/>
      <w:r>
        <w:t xml:space="preserve"> human vision — and that opened the door for everything that followed. We also have a recording on the FBC website from a webinar specifically about Luxturna and RPE65 if you’d like to learn more.</w:t>
      </w:r>
    </w:p>
    <w:p w:rsidR="006C0A34" w:rsidP="006C0A34" w:rsidRDefault="006C0A34" w14:paraId="119C18C0" w14:textId="77777777">
      <w:pPr>
        <w:spacing w:after="80"/>
      </w:pPr>
    </w:p>
    <w:p w:rsidR="006C0A34" w:rsidP="006C0A34" w:rsidRDefault="006C0A34" w14:paraId="2C6E2A69" w14:textId="77777777">
      <w:pPr>
        <w:pStyle w:val="Heading2"/>
      </w:pPr>
      <w:r>
        <w:lastRenderedPageBreak/>
        <w:t>Q&amp;A: Stem Cells and Retinal Regeneration</w:t>
      </w:r>
    </w:p>
    <w:p w:rsidR="006C0A34" w:rsidP="006C0A34" w:rsidRDefault="006C0A34" w14:paraId="195DBB83" w14:textId="77777777">
      <w:pPr>
        <w:spacing w:after="120"/>
      </w:pPr>
      <w:r>
        <w:rPr>
          <w:b/>
          <w:bCs/>
        </w:rPr>
        <w:t xml:space="preserve">Audience member: </w:t>
      </w:r>
      <w:r>
        <w:t>Can you speak more about stem cells and where we are with rebuilding retinal structure? I’ve also heard something about research coming out of South Korea related to the zebrafish regeneration factor.</w:t>
      </w:r>
    </w:p>
    <w:p w:rsidR="006C0A34" w:rsidP="006C0A34" w:rsidRDefault="006C0A34" w14:paraId="3BEF615D" w14:textId="77777777">
      <w:pPr>
        <w:spacing w:after="120"/>
      </w:pPr>
      <w:r>
        <w:rPr>
          <w:b/>
          <w:bCs/>
        </w:rPr>
        <w:t xml:space="preserve">Dr. Kirill Zaslavsky: </w:t>
      </w:r>
      <w:r>
        <w:t>The broad goal of stem cell approaches is to take stem cells — which have two key properties, the ability to self-renew and the ability to become many different cell types — guide them toward a photoreceptor or retinal fate, and inject them into the retina in the hope that they integrate and restore function. There is preclinical evidence that this may be possible, and some early clinical trials have shown that it is safe to do. But demonstrating actual functional improvement is the outstanding challenge.</w:t>
      </w:r>
    </w:p>
    <w:p w:rsidR="006C0A34" w:rsidP="006C0A34" w:rsidRDefault="006C0A34" w14:paraId="6976FF47" w14:textId="7CEB8DDB">
      <w:pPr>
        <w:spacing w:after="120"/>
      </w:pPr>
      <w:r w:rsidR="006C0A34">
        <w:rPr/>
        <w:t xml:space="preserve">The fundamental difficulty is this: the retina is a neural network. </w:t>
      </w:r>
      <w:r w:rsidR="006C0A34">
        <w:rPr/>
        <w:t>Once cells in that network are lost, the network begins to adapt and reorganize.</w:t>
      </w:r>
      <w:r w:rsidR="006C0A34">
        <w:rPr/>
        <w:t xml:space="preserve"> When you inject new cells, getting them to wire up correctly with a retina that has already changed — and to do the specific work you need them to do — is an enormously complex problem. </w:t>
      </w:r>
      <w:r w:rsidR="006C0A34">
        <w:rPr/>
        <w:t xml:space="preserve">They may survive in the retina without </w:t>
      </w:r>
      <w:r w:rsidR="006C0A34">
        <w:rPr/>
        <w:t>actually contributing</w:t>
      </w:r>
      <w:r w:rsidR="006C0A34">
        <w:rPr/>
        <w:t xml:space="preserve"> to vision.</w:t>
      </w:r>
      <w:r w:rsidR="006C0A34">
        <w:rPr/>
        <w:t xml:space="preserve"> Dr. David </w:t>
      </w:r>
      <w:r w:rsidR="704B50FC">
        <w:rPr/>
        <w:t xml:space="preserve">Gamm </w:t>
      </w:r>
      <w:r w:rsidR="006C0A34">
        <w:rPr/>
        <w:t>is now beginning a phase one trial of stem cell transplantation into the retina, and eventually the field will find a way to do this. But it is a significant problem.</w:t>
      </w:r>
    </w:p>
    <w:p w:rsidR="006C0A34" w:rsidP="006C0A34" w:rsidRDefault="006C0A34" w14:paraId="152C4679" w14:textId="77777777">
      <w:pPr>
        <w:spacing w:after="120"/>
      </w:pPr>
      <w:r>
        <w:t>On the zebrafish question: zebrafish have a remarkable capacity for retinal regeneration that mammals don’t have. There is research — including some from South Korea — looking at whether we can identify and potentially activate whatever factor enables that regeneration. It sounds like it’s at a pre-clinical stage. Related work has looked at Muller glia cells in the retina, which are thought to have some capacity to respond to injury and potentially give rise to new retinal cells. There have been attempts to promote that trans-differentiation, but it hasn’t yet reached clinical trials in a meaningful way.</w:t>
      </w:r>
    </w:p>
    <w:p w:rsidR="006C0A34" w:rsidP="006C0A34" w:rsidRDefault="006C0A34" w14:paraId="5E985736" w14:textId="77777777">
      <w:pPr>
        <w:spacing w:after="80"/>
      </w:pPr>
    </w:p>
    <w:p w:rsidR="006C0A34" w:rsidP="006C0A34" w:rsidRDefault="006C0A34" w14:paraId="1556A8DB" w14:textId="77777777">
      <w:pPr>
        <w:pStyle w:val="Heading2"/>
      </w:pPr>
      <w:r>
        <w:t>Q&amp;A: Living with RP for Decades — How to Advocate for Yourself</w:t>
      </w:r>
    </w:p>
    <w:p w:rsidR="006C0A34" w:rsidP="006C0A34" w:rsidRDefault="006C0A34" w14:paraId="3898A529" w14:textId="77777777">
      <w:pPr>
        <w:spacing w:after="120"/>
      </w:pPr>
      <w:r>
        <w:rPr>
          <w:b/>
          <w:bCs/>
        </w:rPr>
        <w:t xml:space="preserve">Audience member: </w:t>
      </w:r>
      <w:r>
        <w:t>I’ve had RP for 30 years. My entire family has it. I’ve seen many doctors, and the answer has always been the same: there’s nothing we can do, come back in six months. I’m losing more vision. What would you be asking your doctors? How do we advocate for ourselves rather than just waiting?</w:t>
      </w:r>
    </w:p>
    <w:p w:rsidR="006C0A34" w:rsidP="006C0A34" w:rsidRDefault="006C0A34" w14:paraId="5304FA4C" w14:textId="77777777">
      <w:pPr>
        <w:spacing w:after="120"/>
      </w:pPr>
      <w:r>
        <w:rPr>
          <w:b/>
          <w:bCs/>
        </w:rPr>
        <w:t xml:space="preserve">Dr. Kirill Zaslavsky: </w:t>
      </w:r>
      <w:r>
        <w:t>That frustration is widely shared — I’ve heard it from patients who have been told the same thing for 30 or 40 years. And it reflects both the genuine scale and difficulty of the problem, and how much we still don’t understand. We went from knowing no associated genes 50 years ago to knowing nearly 300 — that’s enormous progress — but we’re still early in translating that knowledge into treatments.</w:t>
      </w:r>
    </w:p>
    <w:p w:rsidR="006C0A34" w:rsidP="006C0A34" w:rsidRDefault="006C0A34" w14:paraId="01031EBD" w14:textId="77777777">
      <w:pPr>
        <w:spacing w:after="120"/>
      </w:pPr>
      <w:r>
        <w:t xml:space="preserve">I do think AI has real potential to help here. As we accumulate data across many patients — genetic information, environmental exposures, lifestyle factors, longitudinal imaging — AI may </w:t>
      </w:r>
      <w:r>
        <w:lastRenderedPageBreak/>
        <w:t>be able to identify patterns that explain why some people progress faster than others, and what factors might modify that. That would give us much better targets for intervention.</w:t>
      </w:r>
    </w:p>
    <w:p w:rsidR="006C0A34" w:rsidP="006C0A34" w:rsidRDefault="006C0A34" w14:paraId="6FBEE610" w14:textId="77777777">
      <w:pPr>
        <w:spacing w:after="120"/>
      </w:pPr>
      <w:r>
        <w:t xml:space="preserve">In the meantime: make sure your ophthalmologist is actively aware of the current clinical trial landscape and has you in mind when new studies open. Regular appointments are not just monitoring — they keep you present in your specialist’s </w:t>
      </w:r>
      <w:proofErr w:type="gramStart"/>
      <w:r>
        <w:t>database</w:t>
      </w:r>
      <w:proofErr w:type="gramEnd"/>
      <w:r>
        <w:t xml:space="preserve"> so you’re top of mind when something relevant comes up. There are also condition-specific advocacy groups and organizations like Fighting Blindness Canada and the Foundation Fighting Blindness in the US that circulate information about trials. And don’t be shy about bringing information to your doctor — if you see a trial that looks relevant, ask about it directly.</w:t>
      </w:r>
    </w:p>
    <w:p w:rsidR="006C0A34" w:rsidP="006C0A34" w:rsidRDefault="006C0A34" w14:paraId="098CF6DE" w14:textId="77777777">
      <w:pPr>
        <w:spacing w:after="120"/>
      </w:pPr>
      <w:r>
        <w:rPr>
          <w:b/>
          <w:bCs/>
        </w:rPr>
        <w:t xml:space="preserve">Audience member: </w:t>
      </w:r>
      <w:r>
        <w:t>Is there any way to push yourself into a trial? Can you contact the research company directly?</w:t>
      </w:r>
    </w:p>
    <w:p w:rsidR="006C0A34" w:rsidP="006C0A34" w:rsidRDefault="006C0A34" w14:paraId="7FE755D2" w14:textId="77777777">
      <w:pPr>
        <w:spacing w:after="120"/>
      </w:pPr>
      <w:r>
        <w:rPr>
          <w:b/>
          <w:bCs/>
        </w:rPr>
        <w:t xml:space="preserve">Audience member: </w:t>
      </w:r>
      <w:r>
        <w:t>I went through this process last summer. My ophthalmologist called me and said he’d recommended me for a clinical trial. It was a referral process — both my family doctor and my ophthalmologist had to be involved. I did my research on the trial, went through screening, and unfortunately didn’t qualify. But having those conversations with your care team — letting them know you’re interested, that you want to be kept in mind — is what opens those doors. And building a good team matters: I see a genetic counselor, two ophthalmologists including Dr. Gregory Evans, an optometrist, and my family doctor. It really does take a village.</w:t>
      </w:r>
    </w:p>
    <w:p w:rsidR="006C0A34" w:rsidP="006C0A34" w:rsidRDefault="006C0A34" w14:paraId="68D45BD0" w14:textId="77777777">
      <w:pPr>
        <w:spacing w:after="120"/>
      </w:pPr>
      <w:r>
        <w:rPr>
          <w:b/>
          <w:bCs/>
        </w:rPr>
        <w:t xml:space="preserve">Dr. Kirill Zaslavsky: </w:t>
      </w:r>
      <w:r>
        <w:t>That’s exactly right. A lot of the trials are US-based, so the Foundation Fighting Blindness in the US is also a valuable resource alongside Fighting Blindness Canada. And for some conditions there are gene-specific or condition-specific patient advocacy groups that circulate trial information. You absolutely should advocate for yourself — bring trials to your doctor’s attention and ask them to help you understand whether you might be eligible.</w:t>
      </w:r>
    </w:p>
    <w:p w:rsidR="006C0A34" w:rsidP="006C0A34" w:rsidRDefault="006C0A34" w14:paraId="35D32496" w14:textId="77777777">
      <w:pPr>
        <w:spacing w:after="120"/>
      </w:pPr>
      <w:r>
        <w:rPr>
          <w:b/>
          <w:bCs/>
        </w:rPr>
        <w:t xml:space="preserve">Morgan Ineson: </w:t>
      </w:r>
      <w:r>
        <w:t xml:space="preserve">A few things we offer that can help: our monthly e-newsletter includes research updates, and at the end of each year we publish a wrap-up of what’s happening in IRD and AMD research. On our website, we have a list of innovative clinical trials organized by disease type — much easier to navigate than ClinicalTrials.gov. And our Health Information Line is available by phone or email — you can tell us your specific </w:t>
      </w:r>
      <w:proofErr w:type="gramStart"/>
      <w:r>
        <w:t>condition</w:t>
      </w:r>
      <w:proofErr w:type="gramEnd"/>
      <w:r>
        <w:t xml:space="preserve"> and we’ll help you find relevant trials, think through questions to ask your doctor, and understand your options. FBC also sponsors a national patient registry with Dr. Gregory Evans as a site leader here in BC. Getting your genetic information into that registry means you’ll be among the first to hear when something relevant opens.</w:t>
      </w:r>
    </w:p>
    <w:p w:rsidR="006C0A34" w:rsidP="006C0A34" w:rsidRDefault="006C0A34" w14:paraId="002F6929" w14:textId="77777777">
      <w:pPr>
        <w:spacing w:after="120"/>
      </w:pPr>
      <w:r>
        <w:rPr>
          <w:b/>
          <w:bCs/>
        </w:rPr>
        <w:t xml:space="preserve">Dr. Kirill Zaslavsky: </w:t>
      </w:r>
      <w:r>
        <w:t xml:space="preserve">I also want to mention something important that doesn’t involve gene therapy or clinical trials at all: vision rehabilitation. Low vision specialists, orientation and mobility specialists, and assistive technology can meaningfully improve your daily functioning right now. It’s worth making sure you’re connected with those resources, and thinking proactively about your progression — when </w:t>
      </w:r>
      <w:proofErr w:type="gramStart"/>
      <w:r>
        <w:t>might certain tasks</w:t>
      </w:r>
      <w:proofErr w:type="gramEnd"/>
      <w:r>
        <w:t xml:space="preserve"> become more difficult, and </w:t>
      </w:r>
      <w:r>
        <w:lastRenderedPageBreak/>
        <w:t>what can you do now to prepare? That kind of planning is just as important as staying connected to research.</w:t>
      </w:r>
    </w:p>
    <w:p w:rsidR="006C0A34" w:rsidP="006C0A34" w:rsidRDefault="006C0A34" w14:paraId="35E1F521" w14:textId="77777777">
      <w:pPr>
        <w:spacing w:after="80"/>
      </w:pPr>
    </w:p>
    <w:p w:rsidR="006C0A34" w:rsidP="006C0A34" w:rsidRDefault="006C0A34" w14:paraId="3885C569" w14:textId="77777777">
      <w:pPr>
        <w:pStyle w:val="Heading2"/>
      </w:pPr>
      <w:r>
        <w:t>Q&amp;A: Smart Glasses and Assistive Technology</w:t>
      </w:r>
    </w:p>
    <w:p w:rsidR="006C0A34" w:rsidP="006C0A34" w:rsidRDefault="006C0A34" w14:paraId="7EF32DE0" w14:textId="77777777">
      <w:pPr>
        <w:spacing w:after="120"/>
      </w:pPr>
      <w:r>
        <w:rPr>
          <w:b/>
          <w:bCs/>
        </w:rPr>
        <w:t xml:space="preserve">Dr. Kirill Zaslavsky: </w:t>
      </w:r>
      <w:r>
        <w:t xml:space="preserve">On that note — are any of you using </w:t>
      </w:r>
      <w:proofErr w:type="gramStart"/>
      <w:r>
        <w:t>the Meta</w:t>
      </w:r>
      <w:proofErr w:type="gramEnd"/>
      <w:r>
        <w:t xml:space="preserve"> AI glasses? I’ve had </w:t>
      </w:r>
      <w:proofErr w:type="gramStart"/>
      <w:r>
        <w:t>a number of</w:t>
      </w:r>
      <w:proofErr w:type="gramEnd"/>
      <w:r>
        <w:t xml:space="preserve"> patients find them very useful for describing scenes.</w:t>
      </w:r>
    </w:p>
    <w:p w:rsidR="006C0A34" w:rsidP="006C0A34" w:rsidRDefault="006C0A34" w14:paraId="5233D752" w14:textId="77777777">
      <w:pPr>
        <w:spacing w:after="120"/>
      </w:pPr>
      <w:r>
        <w:rPr>
          <w:b/>
          <w:bCs/>
        </w:rPr>
        <w:t xml:space="preserve">Audience member: </w:t>
      </w:r>
      <w:r>
        <w:t>Yes — a cousin of mine uses them and loves them.</w:t>
      </w:r>
    </w:p>
    <w:p w:rsidR="006C0A34" w:rsidP="006C0A34" w:rsidRDefault="006C0A34" w14:paraId="29D842D3" w14:textId="77777777">
      <w:pPr>
        <w:spacing w:after="120"/>
      </w:pPr>
      <w:r>
        <w:rPr>
          <w:b/>
          <w:bCs/>
        </w:rPr>
        <w:t xml:space="preserve">Audience member: </w:t>
      </w:r>
      <w:r>
        <w:t xml:space="preserve">They make getting help hands-free and voice-activated, which is a huge leap for assistive technology. And it’s becoming a platform — Meta has opened it up to developers, so </w:t>
      </w:r>
      <w:proofErr w:type="gramStart"/>
      <w:r>
        <w:t>more and more</w:t>
      </w:r>
      <w:proofErr w:type="gramEnd"/>
      <w:r>
        <w:t xml:space="preserve"> apps are becoming available. Just this week, a new one called OrCam can identify specific objects through the glasses and analyze visual information using AI. It’s getting very capable.</w:t>
      </w:r>
    </w:p>
    <w:p w:rsidR="006C0A34" w:rsidP="006C0A34" w:rsidRDefault="006C0A34" w14:paraId="688870EA" w14:textId="77777777">
      <w:pPr>
        <w:spacing w:after="120"/>
      </w:pPr>
      <w:r>
        <w:rPr>
          <w:b/>
          <w:bCs/>
        </w:rPr>
        <w:t xml:space="preserve">Morgan Ineson: </w:t>
      </w:r>
      <w:r>
        <w:t xml:space="preserve">At our AMD events, someone always seems to have a </w:t>
      </w:r>
      <w:proofErr w:type="gramStart"/>
      <w:r>
        <w:t>pair</w:t>
      </w:r>
      <w:proofErr w:type="gramEnd"/>
      <w:r>
        <w:t xml:space="preserve"> and everyone wants to try them. They seem to be genuinely positive for a lot of people.</w:t>
      </w:r>
    </w:p>
    <w:p w:rsidR="006C0A34" w:rsidP="006C0A34" w:rsidRDefault="006C0A34" w14:paraId="5560C029" w14:textId="77777777">
      <w:pPr>
        <w:spacing w:after="80"/>
      </w:pPr>
    </w:p>
    <w:p w:rsidR="006C0A34" w:rsidP="006C0A34" w:rsidRDefault="006C0A34" w14:paraId="7BB8C819" w14:textId="77777777">
      <w:pPr>
        <w:pStyle w:val="Heading2"/>
      </w:pPr>
      <w:r>
        <w:t>Q&amp;A: Does Participating in One Trial Exclude You from Others?</w:t>
      </w:r>
    </w:p>
    <w:p w:rsidR="006C0A34" w:rsidP="006C0A34" w:rsidRDefault="006C0A34" w14:paraId="7AE153CD" w14:textId="77777777">
      <w:pPr>
        <w:spacing w:after="120"/>
      </w:pPr>
      <w:r>
        <w:rPr>
          <w:b/>
          <w:bCs/>
        </w:rPr>
        <w:t xml:space="preserve">Audience member: </w:t>
      </w:r>
      <w:r>
        <w:t>If you participate in one clinical trial, does that prevent you from joining others later?</w:t>
      </w:r>
    </w:p>
    <w:p w:rsidR="006C0A34" w:rsidP="006C0A34" w:rsidRDefault="006C0A34" w14:paraId="3158CEE4" w14:textId="77777777">
      <w:pPr>
        <w:spacing w:after="120"/>
      </w:pPr>
      <w:r>
        <w:rPr>
          <w:b/>
          <w:bCs/>
        </w:rPr>
        <w:t xml:space="preserve">Dr. Kirill Zaslavsky: </w:t>
      </w:r>
      <w:r>
        <w:t xml:space="preserve">It depends on the trial and the treatment. Gene therapy involving sub-retinal surgery is usually an exclusion criterion for future clinical trials — because you’ve had </w:t>
      </w:r>
      <w:proofErr w:type="gramStart"/>
      <w:r>
        <w:t>a permanent</w:t>
      </w:r>
      <w:proofErr w:type="gramEnd"/>
      <w:r>
        <w:t xml:space="preserve"> intervention in that eye, it changes the baseline and makes results harder to interpret. But for other types of trials — oral medications like N-acetylcysteine, for example — participation may not exclude you from a subsequent gene therapy trial. They may just ask you to stop the oral medication for a washout period first. For Stargardt disease specifically, there are three or four different oral medications in trials alongside three different gene therapy approaches, so it’s a good example of how multiple parallel efforts can allow patients to move between different types of studies.</w:t>
      </w:r>
    </w:p>
    <w:p w:rsidR="006C0A34" w:rsidP="006C0A34" w:rsidRDefault="006C0A34" w14:paraId="3705DE90" w14:textId="77777777">
      <w:pPr>
        <w:spacing w:after="80"/>
      </w:pPr>
    </w:p>
    <w:p w:rsidR="006C0A34" w:rsidP="006C0A34" w:rsidRDefault="006C0A34" w14:paraId="77381D11" w14:textId="77777777">
      <w:pPr>
        <w:pStyle w:val="Heading2"/>
      </w:pPr>
      <w:r>
        <w:t>Q&amp;A: Genetic Testing for Siblings</w:t>
      </w:r>
    </w:p>
    <w:p w:rsidR="006C0A34" w:rsidP="006C0A34" w:rsidRDefault="006C0A34" w14:paraId="3EBFFE73" w14:textId="77777777">
      <w:pPr>
        <w:spacing w:after="120"/>
      </w:pPr>
      <w:r>
        <w:rPr>
          <w:b/>
          <w:bCs/>
        </w:rPr>
        <w:t xml:space="preserve">Audience member: </w:t>
      </w:r>
      <w:r>
        <w:t xml:space="preserve">My genetic testing came back positive, and it was recommended that my siblings get tested too. But </w:t>
      </w:r>
      <w:proofErr w:type="gramStart"/>
      <w:r>
        <w:t>they were</w:t>
      </w:r>
      <w:proofErr w:type="gramEnd"/>
      <w:r>
        <w:t xml:space="preserve"> both turned away and </w:t>
      </w:r>
      <w:proofErr w:type="gramStart"/>
      <w:r>
        <w:t>told</w:t>
      </w:r>
      <w:proofErr w:type="gramEnd"/>
      <w:r>
        <w:t xml:space="preserve"> it wouldn’t be done. What can they do?</w:t>
      </w:r>
    </w:p>
    <w:p w:rsidR="006C0A34" w:rsidP="006C0A34" w:rsidRDefault="006C0A34" w14:paraId="6691638F" w14:textId="77777777">
      <w:pPr>
        <w:spacing w:after="120"/>
      </w:pPr>
      <w:r>
        <w:rPr>
          <w:b/>
          <w:bCs/>
        </w:rPr>
        <w:t xml:space="preserve">Dr. Kirill Zaslavsky: </w:t>
      </w:r>
      <w:r>
        <w:t xml:space="preserve">That’s frustrating, and it would help to understand why they were turned away — did anyone give a reason? If your specific variant has been identified, testing your siblings for that same variant should be relatively straightforward, and could be done through a genetic counselor or even a family physician who is comfortable ordering targeted testing. I’d </w:t>
      </w:r>
      <w:r>
        <w:lastRenderedPageBreak/>
        <w:t>suggest they ask specifically for a referral to genetic counseling if they haven’t had one. A genetic counselor can help navigate the process and explain what the results would mean for them.</w:t>
      </w:r>
    </w:p>
    <w:p w:rsidR="006C0A34" w:rsidP="006C0A34" w:rsidRDefault="006C0A34" w14:paraId="72A5405C" w14:textId="77777777">
      <w:pPr>
        <w:spacing w:after="120"/>
      </w:pPr>
      <w:r>
        <w:rPr>
          <w:b/>
          <w:bCs/>
        </w:rPr>
        <w:t xml:space="preserve">Morgan Ineson: </w:t>
      </w:r>
      <w:r>
        <w:t>Dr. Gregory Evans would also be a good resource to raise this with, given that he’s already involved in your care. It’s worth having that conversation directly.</w:t>
      </w:r>
    </w:p>
    <w:p w:rsidR="006C0A34" w:rsidP="006C0A34" w:rsidRDefault="006C0A34" w14:paraId="48A2FA57" w14:textId="77777777">
      <w:pPr>
        <w:spacing w:after="80"/>
      </w:pPr>
    </w:p>
    <w:p w:rsidR="006C0A34" w:rsidP="006C0A34" w:rsidRDefault="006C0A34" w14:paraId="2F6AAB41" w14:textId="77777777">
      <w:pPr>
        <w:pStyle w:val="Heading2"/>
      </w:pPr>
      <w:r>
        <w:t>Closing</w:t>
      </w:r>
    </w:p>
    <w:p w:rsidR="006C0A34" w:rsidP="006C0A34" w:rsidRDefault="006C0A34" w14:paraId="2A38B9AD" w14:textId="77777777">
      <w:pPr>
        <w:spacing w:after="120"/>
      </w:pPr>
      <w:r>
        <w:rPr>
          <w:b/>
          <w:bCs/>
        </w:rPr>
        <w:t xml:space="preserve">Morgan Ineson: </w:t>
      </w:r>
      <w:r>
        <w:t xml:space="preserve">Thank you so much to Dr. Zaslavsky — that </w:t>
      </w:r>
      <w:proofErr w:type="gramStart"/>
      <w:r>
        <w:t>was</w:t>
      </w:r>
      <w:proofErr w:type="gramEnd"/>
      <w:r>
        <w:t xml:space="preserve"> a wonderful discussion. </w:t>
      </w:r>
    </w:p>
    <w:p w:rsidR="4875D3CD" w:rsidP="00A24835" w:rsidRDefault="4875D3CD" w14:paraId="7F95F76E" w14:textId="628FEA34">
      <w:pPr>
        <w:rPr>
          <w:rFonts w:ascii="Aptos" w:hAnsi="Aptos" w:eastAsia="Aptos" w:cs="Aptos"/>
          <w:color w:val="auto"/>
        </w:rPr>
      </w:pPr>
    </w:p>
    <w:sectPr w:rsidR="4875D3CD" w:rsidSect="008E6DC2">
      <w:headerReference w:type="default" r:id="rId12"/>
      <w:footerReference w:type="default" r:id="rId13"/>
      <w:pgSz w:w="12240" w:h="15840" w:orient="portrait"/>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56E8D" w:rsidP="000B1565" w:rsidRDefault="00656E8D" w14:paraId="6972F933" w14:textId="77777777">
      <w:r>
        <w:separator/>
      </w:r>
    </w:p>
  </w:endnote>
  <w:endnote w:type="continuationSeparator" w:id="0">
    <w:p w:rsidR="00656E8D" w:rsidP="000B1565" w:rsidRDefault="00656E8D" w14:paraId="7571543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CF53C9" w:rsidP="00CF53C9" w:rsidRDefault="00CF53C9" w14:paraId="6181801D" w14:textId="5F2C30B6">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rsidRPr="00CF53C9" w:rsidR="00CF53C9" w:rsidP="00CF53C9" w:rsidRDefault="008E6DC2" w14:paraId="1A26896D" w14:textId="4D2ABB2B">
    <w:pPr>
      <w:pStyle w:val="Footer"/>
      <w:jc w:val="center"/>
      <w:rPr>
        <w:color w:val="00236D"/>
        <w:sz w:val="20"/>
      </w:rPr>
    </w:pPr>
    <w:hyperlink w:history="1" r:id="rId1">
      <w:r w:rsidRPr="008E6DC2">
        <w:rPr>
          <w:rStyle w:val="Hyperlink"/>
          <w:color w:val="00236D"/>
          <w:sz w:val="20"/>
          <w:u w:val="none"/>
        </w:rPr>
        <w:t>info@fightingblindness.ca</w:t>
      </w:r>
    </w:hyperlink>
    <w:r>
      <w:rPr>
        <w:color w:val="00236D"/>
        <w:sz w:val="20"/>
      </w:rPr>
      <w:t xml:space="preserve"> | </w:t>
    </w:r>
    <w:r w:rsidRPr="00CF53C9" w:rsidR="00CF53C9">
      <w:rPr>
        <w:color w:val="00236D"/>
        <w:sz w:val="20"/>
      </w:rPr>
      <w:t>Charitable Registration N</w:t>
    </w:r>
    <w:r w:rsidR="00CF53C9">
      <w:rPr>
        <w:color w:val="00236D"/>
        <w:sz w:val="20"/>
      </w:rPr>
      <w:t>o.</w:t>
    </w:r>
    <w:r w:rsidRPr="00CF53C9" w:rsid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56E8D" w:rsidP="000B1565" w:rsidRDefault="00656E8D" w14:paraId="776A53BC" w14:textId="77777777">
      <w:r>
        <w:separator/>
      </w:r>
    </w:p>
  </w:footnote>
  <w:footnote w:type="continuationSeparator" w:id="0">
    <w:p w:rsidR="00656E8D" w:rsidP="000B1565" w:rsidRDefault="00656E8D" w14:paraId="439BB00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32281" w:rsidP="000B1565" w:rsidRDefault="006C35EE" w14:paraId="7A807105" w14:textId="23905ACE">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rsidR="00A32281" w:rsidP="000B1565" w:rsidRDefault="00A32281" w14:paraId="2C7CD08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40EABED0"/>
    <w:lvl w:ilvl="0" w:tplc="CE3EB358">
      <w:start w:val="1"/>
      <w:numFmt w:val="bullet"/>
      <w:lvlText w:val="·"/>
      <w:lvlJc w:val="left"/>
      <w:pPr>
        <w:ind w:left="720" w:hanging="360"/>
      </w:pPr>
      <w:rPr>
        <w:rFonts w:hint="default" w:ascii="Symbol" w:hAnsi="Symbol"/>
      </w:rPr>
    </w:lvl>
    <w:lvl w:ilvl="1" w:tplc="C030A4A0">
      <w:start w:val="1"/>
      <w:numFmt w:val="bullet"/>
      <w:lvlText w:val="o"/>
      <w:lvlJc w:val="left"/>
      <w:pPr>
        <w:ind w:left="1440" w:hanging="360"/>
      </w:pPr>
      <w:rPr>
        <w:rFonts w:hint="default" w:ascii="Courier New" w:hAnsi="Courier New"/>
      </w:rPr>
    </w:lvl>
    <w:lvl w:ilvl="2" w:tplc="3BE2BD82">
      <w:start w:val="1"/>
      <w:numFmt w:val="bullet"/>
      <w:lvlText w:val=""/>
      <w:lvlJc w:val="left"/>
      <w:pPr>
        <w:ind w:left="2160" w:hanging="360"/>
      </w:pPr>
      <w:rPr>
        <w:rFonts w:hint="default" w:ascii="Wingdings" w:hAnsi="Wingdings"/>
      </w:rPr>
    </w:lvl>
    <w:lvl w:ilvl="3" w:tplc="C080A7E2">
      <w:start w:val="1"/>
      <w:numFmt w:val="bullet"/>
      <w:lvlText w:val=""/>
      <w:lvlJc w:val="left"/>
      <w:pPr>
        <w:ind w:left="2880" w:hanging="360"/>
      </w:pPr>
      <w:rPr>
        <w:rFonts w:hint="default" w:ascii="Symbol" w:hAnsi="Symbol"/>
      </w:rPr>
    </w:lvl>
    <w:lvl w:ilvl="4" w:tplc="1CA2B35E">
      <w:start w:val="1"/>
      <w:numFmt w:val="bullet"/>
      <w:lvlText w:val="o"/>
      <w:lvlJc w:val="left"/>
      <w:pPr>
        <w:ind w:left="3600" w:hanging="360"/>
      </w:pPr>
      <w:rPr>
        <w:rFonts w:hint="default" w:ascii="Courier New" w:hAnsi="Courier New"/>
      </w:rPr>
    </w:lvl>
    <w:lvl w:ilvl="5" w:tplc="A5C286AC">
      <w:start w:val="1"/>
      <w:numFmt w:val="bullet"/>
      <w:lvlText w:val=""/>
      <w:lvlJc w:val="left"/>
      <w:pPr>
        <w:ind w:left="4320" w:hanging="360"/>
      </w:pPr>
      <w:rPr>
        <w:rFonts w:hint="default" w:ascii="Wingdings" w:hAnsi="Wingdings"/>
      </w:rPr>
    </w:lvl>
    <w:lvl w:ilvl="6" w:tplc="0BCA7EA8">
      <w:start w:val="1"/>
      <w:numFmt w:val="bullet"/>
      <w:lvlText w:val=""/>
      <w:lvlJc w:val="left"/>
      <w:pPr>
        <w:ind w:left="5040" w:hanging="360"/>
      </w:pPr>
      <w:rPr>
        <w:rFonts w:hint="default" w:ascii="Symbol" w:hAnsi="Symbol"/>
      </w:rPr>
    </w:lvl>
    <w:lvl w:ilvl="7" w:tplc="7A78B1D8">
      <w:start w:val="1"/>
      <w:numFmt w:val="bullet"/>
      <w:lvlText w:val="o"/>
      <w:lvlJc w:val="left"/>
      <w:pPr>
        <w:ind w:left="5760" w:hanging="360"/>
      </w:pPr>
      <w:rPr>
        <w:rFonts w:hint="default" w:ascii="Courier New" w:hAnsi="Courier New"/>
      </w:rPr>
    </w:lvl>
    <w:lvl w:ilvl="8" w:tplc="4A16B534">
      <w:start w:val="1"/>
      <w:numFmt w:val="bullet"/>
      <w:lvlText w:val=""/>
      <w:lvlJc w:val="left"/>
      <w:pPr>
        <w:ind w:left="6480" w:hanging="360"/>
      </w:pPr>
      <w:rPr>
        <w:rFonts w:hint="default" w:ascii="Wingdings" w:hAnsi="Wingdings"/>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95CA8FE"/>
    <w:multiLevelType w:val="hybridMultilevel"/>
    <w:tmpl w:val="56CEB922"/>
    <w:lvl w:ilvl="0" w:tplc="FDBCA11C">
      <w:start w:val="1"/>
      <w:numFmt w:val="bullet"/>
      <w:lvlText w:val=""/>
      <w:lvlJc w:val="left"/>
      <w:pPr>
        <w:ind w:left="720" w:hanging="360"/>
      </w:pPr>
      <w:rPr>
        <w:rFonts w:hint="default" w:ascii="Symbol" w:hAnsi="Symbol"/>
      </w:rPr>
    </w:lvl>
    <w:lvl w:ilvl="1" w:tplc="345E6520">
      <w:start w:val="1"/>
      <w:numFmt w:val="bullet"/>
      <w:lvlText w:val="o"/>
      <w:lvlJc w:val="left"/>
      <w:pPr>
        <w:ind w:left="1440" w:hanging="360"/>
      </w:pPr>
      <w:rPr>
        <w:rFonts w:hint="default" w:ascii="Courier New" w:hAnsi="Courier New"/>
      </w:rPr>
    </w:lvl>
    <w:lvl w:ilvl="2" w:tplc="E82C9C46">
      <w:start w:val="1"/>
      <w:numFmt w:val="bullet"/>
      <w:lvlText w:val=""/>
      <w:lvlJc w:val="left"/>
      <w:pPr>
        <w:ind w:left="2160" w:hanging="360"/>
      </w:pPr>
      <w:rPr>
        <w:rFonts w:hint="default" w:ascii="Wingdings" w:hAnsi="Wingdings"/>
      </w:rPr>
    </w:lvl>
    <w:lvl w:ilvl="3" w:tplc="B0DEA174">
      <w:start w:val="1"/>
      <w:numFmt w:val="bullet"/>
      <w:lvlText w:val=""/>
      <w:lvlJc w:val="left"/>
      <w:pPr>
        <w:ind w:left="2880" w:hanging="360"/>
      </w:pPr>
      <w:rPr>
        <w:rFonts w:hint="default" w:ascii="Symbol" w:hAnsi="Symbol"/>
      </w:rPr>
    </w:lvl>
    <w:lvl w:ilvl="4" w:tplc="8BC4465A">
      <w:start w:val="1"/>
      <w:numFmt w:val="bullet"/>
      <w:lvlText w:val="o"/>
      <w:lvlJc w:val="left"/>
      <w:pPr>
        <w:ind w:left="3600" w:hanging="360"/>
      </w:pPr>
      <w:rPr>
        <w:rFonts w:hint="default" w:ascii="Courier New" w:hAnsi="Courier New"/>
      </w:rPr>
    </w:lvl>
    <w:lvl w:ilvl="5" w:tplc="5396071A">
      <w:start w:val="1"/>
      <w:numFmt w:val="bullet"/>
      <w:lvlText w:val=""/>
      <w:lvlJc w:val="left"/>
      <w:pPr>
        <w:ind w:left="4320" w:hanging="360"/>
      </w:pPr>
      <w:rPr>
        <w:rFonts w:hint="default" w:ascii="Wingdings" w:hAnsi="Wingdings"/>
      </w:rPr>
    </w:lvl>
    <w:lvl w:ilvl="6" w:tplc="E7A40116">
      <w:start w:val="1"/>
      <w:numFmt w:val="bullet"/>
      <w:lvlText w:val=""/>
      <w:lvlJc w:val="left"/>
      <w:pPr>
        <w:ind w:left="5040" w:hanging="360"/>
      </w:pPr>
      <w:rPr>
        <w:rFonts w:hint="default" w:ascii="Symbol" w:hAnsi="Symbol"/>
      </w:rPr>
    </w:lvl>
    <w:lvl w:ilvl="7" w:tplc="110A1312">
      <w:start w:val="1"/>
      <w:numFmt w:val="bullet"/>
      <w:lvlText w:val="o"/>
      <w:lvlJc w:val="left"/>
      <w:pPr>
        <w:ind w:left="5760" w:hanging="360"/>
      </w:pPr>
      <w:rPr>
        <w:rFonts w:hint="default" w:ascii="Courier New" w:hAnsi="Courier New"/>
      </w:rPr>
    </w:lvl>
    <w:lvl w:ilvl="8" w:tplc="08367156">
      <w:start w:val="1"/>
      <w:numFmt w:val="bullet"/>
      <w:lvlText w:val=""/>
      <w:lvlJc w:val="left"/>
      <w:pPr>
        <w:ind w:left="6480" w:hanging="360"/>
      </w:pPr>
      <w:rPr>
        <w:rFonts w:hint="default" w:ascii="Wingdings" w:hAnsi="Wingdings"/>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1BF85707"/>
    <w:multiLevelType w:val="hybridMultilevel"/>
    <w:tmpl w:val="5BEAA40E"/>
    <w:lvl w:ilvl="0" w:tplc="46603706">
      <w:start w:val="1"/>
      <w:numFmt w:val="bullet"/>
      <w:lvlText w:val="·"/>
      <w:lvlJc w:val="left"/>
      <w:pPr>
        <w:ind w:left="720" w:hanging="360"/>
      </w:pPr>
      <w:rPr>
        <w:rFonts w:hint="default" w:ascii="Symbol" w:hAnsi="Symbol"/>
      </w:rPr>
    </w:lvl>
    <w:lvl w:ilvl="1" w:tplc="378AF3A2">
      <w:start w:val="1"/>
      <w:numFmt w:val="bullet"/>
      <w:lvlText w:val="o"/>
      <w:lvlJc w:val="left"/>
      <w:pPr>
        <w:ind w:left="1440" w:hanging="360"/>
      </w:pPr>
      <w:rPr>
        <w:rFonts w:hint="default" w:ascii="Courier New" w:hAnsi="Courier New"/>
      </w:rPr>
    </w:lvl>
    <w:lvl w:ilvl="2" w:tplc="2EEA2DAA">
      <w:start w:val="1"/>
      <w:numFmt w:val="bullet"/>
      <w:lvlText w:val=""/>
      <w:lvlJc w:val="left"/>
      <w:pPr>
        <w:ind w:left="2160" w:hanging="360"/>
      </w:pPr>
      <w:rPr>
        <w:rFonts w:hint="default" w:ascii="Wingdings" w:hAnsi="Wingdings"/>
      </w:rPr>
    </w:lvl>
    <w:lvl w:ilvl="3" w:tplc="329C1624">
      <w:start w:val="1"/>
      <w:numFmt w:val="bullet"/>
      <w:lvlText w:val=""/>
      <w:lvlJc w:val="left"/>
      <w:pPr>
        <w:ind w:left="2880" w:hanging="360"/>
      </w:pPr>
      <w:rPr>
        <w:rFonts w:hint="default" w:ascii="Symbol" w:hAnsi="Symbol"/>
      </w:rPr>
    </w:lvl>
    <w:lvl w:ilvl="4" w:tplc="A0BCBB52">
      <w:start w:val="1"/>
      <w:numFmt w:val="bullet"/>
      <w:lvlText w:val="o"/>
      <w:lvlJc w:val="left"/>
      <w:pPr>
        <w:ind w:left="3600" w:hanging="360"/>
      </w:pPr>
      <w:rPr>
        <w:rFonts w:hint="default" w:ascii="Courier New" w:hAnsi="Courier New"/>
      </w:rPr>
    </w:lvl>
    <w:lvl w:ilvl="5" w:tplc="C8A27110">
      <w:start w:val="1"/>
      <w:numFmt w:val="bullet"/>
      <w:lvlText w:val=""/>
      <w:lvlJc w:val="left"/>
      <w:pPr>
        <w:ind w:left="4320" w:hanging="360"/>
      </w:pPr>
      <w:rPr>
        <w:rFonts w:hint="default" w:ascii="Wingdings" w:hAnsi="Wingdings"/>
      </w:rPr>
    </w:lvl>
    <w:lvl w:ilvl="6" w:tplc="F6F607E2">
      <w:start w:val="1"/>
      <w:numFmt w:val="bullet"/>
      <w:lvlText w:val=""/>
      <w:lvlJc w:val="left"/>
      <w:pPr>
        <w:ind w:left="5040" w:hanging="360"/>
      </w:pPr>
      <w:rPr>
        <w:rFonts w:hint="default" w:ascii="Symbol" w:hAnsi="Symbol"/>
      </w:rPr>
    </w:lvl>
    <w:lvl w:ilvl="7" w:tplc="E516FC36">
      <w:start w:val="1"/>
      <w:numFmt w:val="bullet"/>
      <w:lvlText w:val="o"/>
      <w:lvlJc w:val="left"/>
      <w:pPr>
        <w:ind w:left="5760" w:hanging="360"/>
      </w:pPr>
      <w:rPr>
        <w:rFonts w:hint="default" w:ascii="Courier New" w:hAnsi="Courier New"/>
      </w:rPr>
    </w:lvl>
    <w:lvl w:ilvl="8" w:tplc="6E88F148">
      <w:start w:val="1"/>
      <w:numFmt w:val="bullet"/>
      <w:lvlText w:val=""/>
      <w:lvlJc w:val="left"/>
      <w:pPr>
        <w:ind w:left="6480" w:hanging="360"/>
      </w:pPr>
      <w:rPr>
        <w:rFonts w:hint="default" w:ascii="Wingdings" w:hAnsi="Wingdings"/>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hint="default" w:ascii="Calibri" w:hAnsi="Calibri" w:cs="Calibri" w:eastAsiaTheme="minorEastAsia"/>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8" w15:restartNumberingAfterBreak="0">
    <w:nsid w:val="21E26CCE"/>
    <w:multiLevelType w:val="hybridMultilevel"/>
    <w:tmpl w:val="039016F4"/>
    <w:lvl w:ilvl="0" w:tplc="D98434D6">
      <w:start w:val="1"/>
      <w:numFmt w:val="bullet"/>
      <w:lvlText w:val=""/>
      <w:lvlJc w:val="left"/>
      <w:pPr>
        <w:ind w:left="720" w:hanging="360"/>
      </w:pPr>
      <w:rPr>
        <w:rFonts w:hint="default" w:ascii="Symbol" w:hAnsi="Symbol"/>
      </w:rPr>
    </w:lvl>
    <w:lvl w:ilvl="1" w:tplc="5874B234">
      <w:start w:val="1"/>
      <w:numFmt w:val="bullet"/>
      <w:lvlText w:val="o"/>
      <w:lvlJc w:val="left"/>
      <w:pPr>
        <w:ind w:left="1440" w:hanging="360"/>
      </w:pPr>
      <w:rPr>
        <w:rFonts w:hint="default" w:ascii="Courier New" w:hAnsi="Courier New"/>
      </w:rPr>
    </w:lvl>
    <w:lvl w:ilvl="2" w:tplc="046A9254">
      <w:start w:val="1"/>
      <w:numFmt w:val="bullet"/>
      <w:lvlText w:val=""/>
      <w:lvlJc w:val="left"/>
      <w:pPr>
        <w:ind w:left="2160" w:hanging="360"/>
      </w:pPr>
      <w:rPr>
        <w:rFonts w:hint="default" w:ascii="Wingdings" w:hAnsi="Wingdings"/>
      </w:rPr>
    </w:lvl>
    <w:lvl w:ilvl="3" w:tplc="35E061F4">
      <w:start w:val="1"/>
      <w:numFmt w:val="bullet"/>
      <w:lvlText w:val=""/>
      <w:lvlJc w:val="left"/>
      <w:pPr>
        <w:ind w:left="2880" w:hanging="360"/>
      </w:pPr>
      <w:rPr>
        <w:rFonts w:hint="default" w:ascii="Symbol" w:hAnsi="Symbol"/>
      </w:rPr>
    </w:lvl>
    <w:lvl w:ilvl="4" w:tplc="472CD446">
      <w:start w:val="1"/>
      <w:numFmt w:val="bullet"/>
      <w:lvlText w:val="o"/>
      <w:lvlJc w:val="left"/>
      <w:pPr>
        <w:ind w:left="3600" w:hanging="360"/>
      </w:pPr>
      <w:rPr>
        <w:rFonts w:hint="default" w:ascii="Courier New" w:hAnsi="Courier New"/>
      </w:rPr>
    </w:lvl>
    <w:lvl w:ilvl="5" w:tplc="1E6437C4">
      <w:start w:val="1"/>
      <w:numFmt w:val="bullet"/>
      <w:lvlText w:val=""/>
      <w:lvlJc w:val="left"/>
      <w:pPr>
        <w:ind w:left="4320" w:hanging="360"/>
      </w:pPr>
      <w:rPr>
        <w:rFonts w:hint="default" w:ascii="Wingdings" w:hAnsi="Wingdings"/>
      </w:rPr>
    </w:lvl>
    <w:lvl w:ilvl="6" w:tplc="A9826912">
      <w:start w:val="1"/>
      <w:numFmt w:val="bullet"/>
      <w:lvlText w:val=""/>
      <w:lvlJc w:val="left"/>
      <w:pPr>
        <w:ind w:left="5040" w:hanging="360"/>
      </w:pPr>
      <w:rPr>
        <w:rFonts w:hint="default" w:ascii="Symbol" w:hAnsi="Symbol"/>
      </w:rPr>
    </w:lvl>
    <w:lvl w:ilvl="7" w:tplc="729086F8">
      <w:start w:val="1"/>
      <w:numFmt w:val="bullet"/>
      <w:lvlText w:val="o"/>
      <w:lvlJc w:val="left"/>
      <w:pPr>
        <w:ind w:left="5760" w:hanging="360"/>
      </w:pPr>
      <w:rPr>
        <w:rFonts w:hint="default" w:ascii="Courier New" w:hAnsi="Courier New"/>
      </w:rPr>
    </w:lvl>
    <w:lvl w:ilvl="8" w:tplc="45AE6F30">
      <w:start w:val="1"/>
      <w:numFmt w:val="bullet"/>
      <w:lvlText w:val=""/>
      <w:lvlJc w:val="left"/>
      <w:pPr>
        <w:ind w:left="6480" w:hanging="360"/>
      </w:pPr>
      <w:rPr>
        <w:rFonts w:hint="default" w:ascii="Wingdings" w:hAnsi="Wingdings"/>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23959023"/>
    <w:multiLevelType w:val="hybridMultilevel"/>
    <w:tmpl w:val="6D12E5D2"/>
    <w:lvl w:ilvl="0" w:tplc="6F64A6D6">
      <w:start w:val="1"/>
      <w:numFmt w:val="bullet"/>
      <w:lvlText w:val="·"/>
      <w:lvlJc w:val="left"/>
      <w:pPr>
        <w:ind w:left="720" w:hanging="360"/>
      </w:pPr>
      <w:rPr>
        <w:rFonts w:hint="default" w:ascii="Symbol" w:hAnsi="Symbol"/>
      </w:rPr>
    </w:lvl>
    <w:lvl w:ilvl="1" w:tplc="04687AEE">
      <w:start w:val="1"/>
      <w:numFmt w:val="bullet"/>
      <w:lvlText w:val="o"/>
      <w:lvlJc w:val="left"/>
      <w:pPr>
        <w:ind w:left="1440" w:hanging="360"/>
      </w:pPr>
      <w:rPr>
        <w:rFonts w:hint="default" w:ascii="Courier New" w:hAnsi="Courier New"/>
      </w:rPr>
    </w:lvl>
    <w:lvl w:ilvl="2" w:tplc="626A0FBA">
      <w:start w:val="1"/>
      <w:numFmt w:val="bullet"/>
      <w:lvlText w:val=""/>
      <w:lvlJc w:val="left"/>
      <w:pPr>
        <w:ind w:left="2160" w:hanging="360"/>
      </w:pPr>
      <w:rPr>
        <w:rFonts w:hint="default" w:ascii="Wingdings" w:hAnsi="Wingdings"/>
      </w:rPr>
    </w:lvl>
    <w:lvl w:ilvl="3" w:tplc="9CBEB334">
      <w:start w:val="1"/>
      <w:numFmt w:val="bullet"/>
      <w:lvlText w:val=""/>
      <w:lvlJc w:val="left"/>
      <w:pPr>
        <w:ind w:left="2880" w:hanging="360"/>
      </w:pPr>
      <w:rPr>
        <w:rFonts w:hint="default" w:ascii="Symbol" w:hAnsi="Symbol"/>
      </w:rPr>
    </w:lvl>
    <w:lvl w:ilvl="4" w:tplc="4552EFC8">
      <w:start w:val="1"/>
      <w:numFmt w:val="bullet"/>
      <w:lvlText w:val="o"/>
      <w:lvlJc w:val="left"/>
      <w:pPr>
        <w:ind w:left="3600" w:hanging="360"/>
      </w:pPr>
      <w:rPr>
        <w:rFonts w:hint="default" w:ascii="Courier New" w:hAnsi="Courier New"/>
      </w:rPr>
    </w:lvl>
    <w:lvl w:ilvl="5" w:tplc="6E4E1E2C">
      <w:start w:val="1"/>
      <w:numFmt w:val="bullet"/>
      <w:lvlText w:val=""/>
      <w:lvlJc w:val="left"/>
      <w:pPr>
        <w:ind w:left="4320" w:hanging="360"/>
      </w:pPr>
      <w:rPr>
        <w:rFonts w:hint="default" w:ascii="Wingdings" w:hAnsi="Wingdings"/>
      </w:rPr>
    </w:lvl>
    <w:lvl w:ilvl="6" w:tplc="F98AE176">
      <w:start w:val="1"/>
      <w:numFmt w:val="bullet"/>
      <w:lvlText w:val=""/>
      <w:lvlJc w:val="left"/>
      <w:pPr>
        <w:ind w:left="5040" w:hanging="360"/>
      </w:pPr>
      <w:rPr>
        <w:rFonts w:hint="default" w:ascii="Symbol" w:hAnsi="Symbol"/>
      </w:rPr>
    </w:lvl>
    <w:lvl w:ilvl="7" w:tplc="079E79B6">
      <w:start w:val="1"/>
      <w:numFmt w:val="bullet"/>
      <w:lvlText w:val="o"/>
      <w:lvlJc w:val="left"/>
      <w:pPr>
        <w:ind w:left="5760" w:hanging="360"/>
      </w:pPr>
      <w:rPr>
        <w:rFonts w:hint="default" w:ascii="Courier New" w:hAnsi="Courier New"/>
      </w:rPr>
    </w:lvl>
    <w:lvl w:ilvl="8" w:tplc="B9021378">
      <w:start w:val="1"/>
      <w:numFmt w:val="bullet"/>
      <w:lvlText w:val=""/>
      <w:lvlJc w:val="left"/>
      <w:pPr>
        <w:ind w:left="6480" w:hanging="360"/>
      </w:pPr>
      <w:rPr>
        <w:rFonts w:hint="default" w:ascii="Wingdings" w:hAnsi="Wingdings"/>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hint="default" w:ascii="Calibri" w:hAnsi="Calibri" w:cs="Calibri" w:eastAsiaTheme="minorHAnsi"/>
      </w:rPr>
    </w:lvl>
    <w:lvl w:ilvl="1" w:tplc="10090003" w:tentative="1">
      <w:start w:val="1"/>
      <w:numFmt w:val="bullet"/>
      <w:lvlText w:val="o"/>
      <w:lvlJc w:val="left"/>
      <w:pPr>
        <w:ind w:left="2520" w:hanging="360"/>
      </w:pPr>
      <w:rPr>
        <w:rFonts w:hint="default" w:ascii="Courier New" w:hAnsi="Courier New" w:cs="Courier New"/>
      </w:rPr>
    </w:lvl>
    <w:lvl w:ilvl="2" w:tplc="10090005" w:tentative="1">
      <w:start w:val="1"/>
      <w:numFmt w:val="bullet"/>
      <w:lvlText w:val=""/>
      <w:lvlJc w:val="left"/>
      <w:pPr>
        <w:ind w:left="3240" w:hanging="360"/>
      </w:pPr>
      <w:rPr>
        <w:rFonts w:hint="default" w:ascii="Wingdings" w:hAnsi="Wingdings"/>
      </w:rPr>
    </w:lvl>
    <w:lvl w:ilvl="3" w:tplc="10090001" w:tentative="1">
      <w:start w:val="1"/>
      <w:numFmt w:val="bullet"/>
      <w:lvlText w:val=""/>
      <w:lvlJc w:val="left"/>
      <w:pPr>
        <w:ind w:left="3960" w:hanging="360"/>
      </w:pPr>
      <w:rPr>
        <w:rFonts w:hint="default" w:ascii="Symbol" w:hAnsi="Symbol"/>
      </w:rPr>
    </w:lvl>
    <w:lvl w:ilvl="4" w:tplc="10090003" w:tentative="1">
      <w:start w:val="1"/>
      <w:numFmt w:val="bullet"/>
      <w:lvlText w:val="o"/>
      <w:lvlJc w:val="left"/>
      <w:pPr>
        <w:ind w:left="4680" w:hanging="360"/>
      </w:pPr>
      <w:rPr>
        <w:rFonts w:hint="default" w:ascii="Courier New" w:hAnsi="Courier New" w:cs="Courier New"/>
      </w:rPr>
    </w:lvl>
    <w:lvl w:ilvl="5" w:tplc="10090005" w:tentative="1">
      <w:start w:val="1"/>
      <w:numFmt w:val="bullet"/>
      <w:lvlText w:val=""/>
      <w:lvlJc w:val="left"/>
      <w:pPr>
        <w:ind w:left="5400" w:hanging="360"/>
      </w:pPr>
      <w:rPr>
        <w:rFonts w:hint="default" w:ascii="Wingdings" w:hAnsi="Wingdings"/>
      </w:rPr>
    </w:lvl>
    <w:lvl w:ilvl="6" w:tplc="10090001" w:tentative="1">
      <w:start w:val="1"/>
      <w:numFmt w:val="bullet"/>
      <w:lvlText w:val=""/>
      <w:lvlJc w:val="left"/>
      <w:pPr>
        <w:ind w:left="6120" w:hanging="360"/>
      </w:pPr>
      <w:rPr>
        <w:rFonts w:hint="default" w:ascii="Symbol" w:hAnsi="Symbol"/>
      </w:rPr>
    </w:lvl>
    <w:lvl w:ilvl="7" w:tplc="10090003" w:tentative="1">
      <w:start w:val="1"/>
      <w:numFmt w:val="bullet"/>
      <w:lvlText w:val="o"/>
      <w:lvlJc w:val="left"/>
      <w:pPr>
        <w:ind w:left="6840" w:hanging="360"/>
      </w:pPr>
      <w:rPr>
        <w:rFonts w:hint="default" w:ascii="Courier New" w:hAnsi="Courier New" w:cs="Courier New"/>
      </w:rPr>
    </w:lvl>
    <w:lvl w:ilvl="8" w:tplc="10090005" w:tentative="1">
      <w:start w:val="1"/>
      <w:numFmt w:val="bullet"/>
      <w:lvlText w:val=""/>
      <w:lvlJc w:val="left"/>
      <w:pPr>
        <w:ind w:left="7560" w:hanging="360"/>
      </w:pPr>
      <w:rPr>
        <w:rFonts w:hint="default" w:ascii="Wingdings" w:hAnsi="Wingdings"/>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hint="default" w:ascii="Verdana" w:hAnsi="Verdana" w:cs="Times New Roman"/>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hint="default" w:ascii="Calibri" w:hAnsi="Calibri" w:cs="Calibri" w:eastAsiaTheme="minorHAnsi"/>
      </w:rPr>
    </w:lvl>
    <w:lvl w:ilvl="1" w:tplc="10090003">
      <w:start w:val="1"/>
      <w:numFmt w:val="bullet"/>
      <w:lvlText w:val="o"/>
      <w:lvlJc w:val="left"/>
      <w:pPr>
        <w:ind w:left="0" w:hanging="360"/>
      </w:pPr>
      <w:rPr>
        <w:rFonts w:hint="default" w:ascii="Courier New" w:hAnsi="Courier New" w:cs="Courier New"/>
      </w:rPr>
    </w:lvl>
    <w:lvl w:ilvl="2" w:tplc="10090005" w:tentative="1">
      <w:start w:val="1"/>
      <w:numFmt w:val="bullet"/>
      <w:lvlText w:val=""/>
      <w:lvlJc w:val="left"/>
      <w:pPr>
        <w:ind w:left="720" w:hanging="360"/>
      </w:pPr>
      <w:rPr>
        <w:rFonts w:hint="default" w:ascii="Wingdings" w:hAnsi="Wingdings"/>
      </w:rPr>
    </w:lvl>
    <w:lvl w:ilvl="3" w:tplc="10090001" w:tentative="1">
      <w:start w:val="1"/>
      <w:numFmt w:val="bullet"/>
      <w:lvlText w:val=""/>
      <w:lvlJc w:val="left"/>
      <w:pPr>
        <w:ind w:left="1440" w:hanging="360"/>
      </w:pPr>
      <w:rPr>
        <w:rFonts w:hint="default" w:ascii="Symbol" w:hAnsi="Symbol"/>
      </w:rPr>
    </w:lvl>
    <w:lvl w:ilvl="4" w:tplc="10090003" w:tentative="1">
      <w:start w:val="1"/>
      <w:numFmt w:val="bullet"/>
      <w:lvlText w:val="o"/>
      <w:lvlJc w:val="left"/>
      <w:pPr>
        <w:ind w:left="2160" w:hanging="360"/>
      </w:pPr>
      <w:rPr>
        <w:rFonts w:hint="default" w:ascii="Courier New" w:hAnsi="Courier New" w:cs="Courier New"/>
      </w:rPr>
    </w:lvl>
    <w:lvl w:ilvl="5" w:tplc="10090005" w:tentative="1">
      <w:start w:val="1"/>
      <w:numFmt w:val="bullet"/>
      <w:lvlText w:val=""/>
      <w:lvlJc w:val="left"/>
      <w:pPr>
        <w:ind w:left="2880" w:hanging="360"/>
      </w:pPr>
      <w:rPr>
        <w:rFonts w:hint="default" w:ascii="Wingdings" w:hAnsi="Wingdings"/>
      </w:rPr>
    </w:lvl>
    <w:lvl w:ilvl="6" w:tplc="10090001" w:tentative="1">
      <w:start w:val="1"/>
      <w:numFmt w:val="bullet"/>
      <w:lvlText w:val=""/>
      <w:lvlJc w:val="left"/>
      <w:pPr>
        <w:ind w:left="3600" w:hanging="360"/>
      </w:pPr>
      <w:rPr>
        <w:rFonts w:hint="default" w:ascii="Symbol" w:hAnsi="Symbol"/>
      </w:rPr>
    </w:lvl>
    <w:lvl w:ilvl="7" w:tplc="10090003" w:tentative="1">
      <w:start w:val="1"/>
      <w:numFmt w:val="bullet"/>
      <w:lvlText w:val="o"/>
      <w:lvlJc w:val="left"/>
      <w:pPr>
        <w:ind w:left="4320" w:hanging="360"/>
      </w:pPr>
      <w:rPr>
        <w:rFonts w:hint="default" w:ascii="Courier New" w:hAnsi="Courier New" w:cs="Courier New"/>
      </w:rPr>
    </w:lvl>
    <w:lvl w:ilvl="8" w:tplc="10090005" w:tentative="1">
      <w:start w:val="1"/>
      <w:numFmt w:val="bullet"/>
      <w:lvlText w:val=""/>
      <w:lvlJc w:val="left"/>
      <w:pPr>
        <w:ind w:left="5040" w:hanging="360"/>
      </w:pPr>
      <w:rPr>
        <w:rFonts w:hint="default" w:ascii="Wingdings" w:hAnsi="Wingdings"/>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hint="default" w:ascii="Symbol" w:hAnsi="Symbol"/>
      </w:rPr>
    </w:lvl>
    <w:lvl w:ilvl="1" w:tplc="10090003">
      <w:start w:val="1"/>
      <w:numFmt w:val="bullet"/>
      <w:lvlText w:val="o"/>
      <w:lvlJc w:val="left"/>
      <w:pPr>
        <w:ind w:left="0" w:hanging="360"/>
      </w:pPr>
      <w:rPr>
        <w:rFonts w:hint="default" w:ascii="Courier New" w:hAnsi="Courier New" w:cs="Courier New"/>
      </w:rPr>
    </w:lvl>
    <w:lvl w:ilvl="2" w:tplc="10090005" w:tentative="1">
      <w:start w:val="1"/>
      <w:numFmt w:val="bullet"/>
      <w:lvlText w:val=""/>
      <w:lvlJc w:val="left"/>
      <w:pPr>
        <w:ind w:left="720" w:hanging="360"/>
      </w:pPr>
      <w:rPr>
        <w:rFonts w:hint="default" w:ascii="Wingdings" w:hAnsi="Wingdings"/>
      </w:rPr>
    </w:lvl>
    <w:lvl w:ilvl="3" w:tplc="10090001" w:tentative="1">
      <w:start w:val="1"/>
      <w:numFmt w:val="bullet"/>
      <w:lvlText w:val=""/>
      <w:lvlJc w:val="left"/>
      <w:pPr>
        <w:ind w:left="1440" w:hanging="360"/>
      </w:pPr>
      <w:rPr>
        <w:rFonts w:hint="default" w:ascii="Symbol" w:hAnsi="Symbol"/>
      </w:rPr>
    </w:lvl>
    <w:lvl w:ilvl="4" w:tplc="10090003" w:tentative="1">
      <w:start w:val="1"/>
      <w:numFmt w:val="bullet"/>
      <w:lvlText w:val="o"/>
      <w:lvlJc w:val="left"/>
      <w:pPr>
        <w:ind w:left="2160" w:hanging="360"/>
      </w:pPr>
      <w:rPr>
        <w:rFonts w:hint="default" w:ascii="Courier New" w:hAnsi="Courier New" w:cs="Courier New"/>
      </w:rPr>
    </w:lvl>
    <w:lvl w:ilvl="5" w:tplc="10090005" w:tentative="1">
      <w:start w:val="1"/>
      <w:numFmt w:val="bullet"/>
      <w:lvlText w:val=""/>
      <w:lvlJc w:val="left"/>
      <w:pPr>
        <w:ind w:left="2880" w:hanging="360"/>
      </w:pPr>
      <w:rPr>
        <w:rFonts w:hint="default" w:ascii="Wingdings" w:hAnsi="Wingdings"/>
      </w:rPr>
    </w:lvl>
    <w:lvl w:ilvl="6" w:tplc="10090001" w:tentative="1">
      <w:start w:val="1"/>
      <w:numFmt w:val="bullet"/>
      <w:lvlText w:val=""/>
      <w:lvlJc w:val="left"/>
      <w:pPr>
        <w:ind w:left="3600" w:hanging="360"/>
      </w:pPr>
      <w:rPr>
        <w:rFonts w:hint="default" w:ascii="Symbol" w:hAnsi="Symbol"/>
      </w:rPr>
    </w:lvl>
    <w:lvl w:ilvl="7" w:tplc="10090003" w:tentative="1">
      <w:start w:val="1"/>
      <w:numFmt w:val="bullet"/>
      <w:lvlText w:val="o"/>
      <w:lvlJc w:val="left"/>
      <w:pPr>
        <w:ind w:left="4320" w:hanging="360"/>
      </w:pPr>
      <w:rPr>
        <w:rFonts w:hint="default" w:ascii="Courier New" w:hAnsi="Courier New" w:cs="Courier New"/>
      </w:rPr>
    </w:lvl>
    <w:lvl w:ilvl="8" w:tplc="10090005" w:tentative="1">
      <w:start w:val="1"/>
      <w:numFmt w:val="bullet"/>
      <w:lvlText w:val=""/>
      <w:lvlJc w:val="left"/>
      <w:pPr>
        <w:ind w:left="5040" w:hanging="360"/>
      </w:pPr>
      <w:rPr>
        <w:rFonts w:hint="default" w:ascii="Wingdings" w:hAnsi="Wingdings"/>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4" w15:restartNumberingAfterBreak="0">
    <w:nsid w:val="65B6ABAD"/>
    <w:multiLevelType w:val="hybridMultilevel"/>
    <w:tmpl w:val="862A9C68"/>
    <w:lvl w:ilvl="0" w:tplc="F2487D4C">
      <w:start w:val="1"/>
      <w:numFmt w:val="bullet"/>
      <w:lvlText w:val=""/>
      <w:lvlJc w:val="left"/>
      <w:pPr>
        <w:ind w:left="720" w:hanging="360"/>
      </w:pPr>
      <w:rPr>
        <w:rFonts w:hint="default" w:ascii="Symbol" w:hAnsi="Symbol"/>
      </w:rPr>
    </w:lvl>
    <w:lvl w:ilvl="1" w:tplc="637CFA04">
      <w:start w:val="1"/>
      <w:numFmt w:val="bullet"/>
      <w:lvlText w:val="o"/>
      <w:lvlJc w:val="left"/>
      <w:pPr>
        <w:ind w:left="1440" w:hanging="360"/>
      </w:pPr>
      <w:rPr>
        <w:rFonts w:hint="default" w:ascii="Courier New" w:hAnsi="Courier New"/>
      </w:rPr>
    </w:lvl>
    <w:lvl w:ilvl="2" w:tplc="FDC4E3A4">
      <w:start w:val="1"/>
      <w:numFmt w:val="bullet"/>
      <w:lvlText w:val=""/>
      <w:lvlJc w:val="left"/>
      <w:pPr>
        <w:ind w:left="2160" w:hanging="360"/>
      </w:pPr>
      <w:rPr>
        <w:rFonts w:hint="default" w:ascii="Wingdings" w:hAnsi="Wingdings"/>
      </w:rPr>
    </w:lvl>
    <w:lvl w:ilvl="3" w:tplc="868C37A8">
      <w:start w:val="1"/>
      <w:numFmt w:val="bullet"/>
      <w:lvlText w:val=""/>
      <w:lvlJc w:val="left"/>
      <w:pPr>
        <w:ind w:left="2880" w:hanging="360"/>
      </w:pPr>
      <w:rPr>
        <w:rFonts w:hint="default" w:ascii="Symbol" w:hAnsi="Symbol"/>
      </w:rPr>
    </w:lvl>
    <w:lvl w:ilvl="4" w:tplc="87B01086">
      <w:start w:val="1"/>
      <w:numFmt w:val="bullet"/>
      <w:lvlText w:val="o"/>
      <w:lvlJc w:val="left"/>
      <w:pPr>
        <w:ind w:left="3600" w:hanging="360"/>
      </w:pPr>
      <w:rPr>
        <w:rFonts w:hint="default" w:ascii="Courier New" w:hAnsi="Courier New"/>
      </w:rPr>
    </w:lvl>
    <w:lvl w:ilvl="5" w:tplc="271E36DA">
      <w:start w:val="1"/>
      <w:numFmt w:val="bullet"/>
      <w:lvlText w:val=""/>
      <w:lvlJc w:val="left"/>
      <w:pPr>
        <w:ind w:left="4320" w:hanging="360"/>
      </w:pPr>
      <w:rPr>
        <w:rFonts w:hint="default" w:ascii="Wingdings" w:hAnsi="Wingdings"/>
      </w:rPr>
    </w:lvl>
    <w:lvl w:ilvl="6" w:tplc="B4081C88">
      <w:start w:val="1"/>
      <w:numFmt w:val="bullet"/>
      <w:lvlText w:val=""/>
      <w:lvlJc w:val="left"/>
      <w:pPr>
        <w:ind w:left="5040" w:hanging="360"/>
      </w:pPr>
      <w:rPr>
        <w:rFonts w:hint="default" w:ascii="Symbol" w:hAnsi="Symbol"/>
      </w:rPr>
    </w:lvl>
    <w:lvl w:ilvl="7" w:tplc="E85EEABA">
      <w:start w:val="1"/>
      <w:numFmt w:val="bullet"/>
      <w:lvlText w:val="o"/>
      <w:lvlJc w:val="left"/>
      <w:pPr>
        <w:ind w:left="5760" w:hanging="360"/>
      </w:pPr>
      <w:rPr>
        <w:rFonts w:hint="default" w:ascii="Courier New" w:hAnsi="Courier New"/>
      </w:rPr>
    </w:lvl>
    <w:lvl w:ilvl="8" w:tplc="7B2263C0">
      <w:start w:val="1"/>
      <w:numFmt w:val="bullet"/>
      <w:lvlText w:val=""/>
      <w:lvlJc w:val="left"/>
      <w:pPr>
        <w:ind w:left="6480" w:hanging="360"/>
      </w:pPr>
      <w:rPr>
        <w:rFonts w:hint="default" w:ascii="Wingdings" w:hAnsi="Wingdings"/>
      </w:rPr>
    </w:lvl>
  </w:abstractNum>
  <w:abstractNum w:abstractNumId="55" w15:restartNumberingAfterBreak="0">
    <w:nsid w:val="66016B95"/>
    <w:multiLevelType w:val="hybridMultilevel"/>
    <w:tmpl w:val="60D2EB2A"/>
    <w:lvl w:ilvl="0" w:tplc="62E8DFB0">
      <w:start w:val="1"/>
      <w:numFmt w:val="bullet"/>
      <w:lvlText w:val="·"/>
      <w:lvlJc w:val="left"/>
      <w:pPr>
        <w:ind w:left="720" w:hanging="360"/>
      </w:pPr>
      <w:rPr>
        <w:rFonts w:hint="default" w:ascii="Symbol" w:hAnsi="Symbol"/>
      </w:rPr>
    </w:lvl>
    <w:lvl w:ilvl="1" w:tplc="1896ABB2">
      <w:start w:val="1"/>
      <w:numFmt w:val="bullet"/>
      <w:lvlText w:val="o"/>
      <w:lvlJc w:val="left"/>
      <w:pPr>
        <w:ind w:left="1440" w:hanging="360"/>
      </w:pPr>
      <w:rPr>
        <w:rFonts w:hint="default" w:ascii="Courier New" w:hAnsi="Courier New"/>
      </w:rPr>
    </w:lvl>
    <w:lvl w:ilvl="2" w:tplc="5868F124">
      <w:start w:val="1"/>
      <w:numFmt w:val="bullet"/>
      <w:lvlText w:val=""/>
      <w:lvlJc w:val="left"/>
      <w:pPr>
        <w:ind w:left="2160" w:hanging="360"/>
      </w:pPr>
      <w:rPr>
        <w:rFonts w:hint="default" w:ascii="Wingdings" w:hAnsi="Wingdings"/>
      </w:rPr>
    </w:lvl>
    <w:lvl w:ilvl="3" w:tplc="960236A2">
      <w:start w:val="1"/>
      <w:numFmt w:val="bullet"/>
      <w:lvlText w:val=""/>
      <w:lvlJc w:val="left"/>
      <w:pPr>
        <w:ind w:left="2880" w:hanging="360"/>
      </w:pPr>
      <w:rPr>
        <w:rFonts w:hint="default" w:ascii="Symbol" w:hAnsi="Symbol"/>
      </w:rPr>
    </w:lvl>
    <w:lvl w:ilvl="4" w:tplc="2D02F112">
      <w:start w:val="1"/>
      <w:numFmt w:val="bullet"/>
      <w:lvlText w:val="o"/>
      <w:lvlJc w:val="left"/>
      <w:pPr>
        <w:ind w:left="3600" w:hanging="360"/>
      </w:pPr>
      <w:rPr>
        <w:rFonts w:hint="default" w:ascii="Courier New" w:hAnsi="Courier New"/>
      </w:rPr>
    </w:lvl>
    <w:lvl w:ilvl="5" w:tplc="C12EB8DC">
      <w:start w:val="1"/>
      <w:numFmt w:val="bullet"/>
      <w:lvlText w:val=""/>
      <w:lvlJc w:val="left"/>
      <w:pPr>
        <w:ind w:left="4320" w:hanging="360"/>
      </w:pPr>
      <w:rPr>
        <w:rFonts w:hint="default" w:ascii="Wingdings" w:hAnsi="Wingdings"/>
      </w:rPr>
    </w:lvl>
    <w:lvl w:ilvl="6" w:tplc="743209A8">
      <w:start w:val="1"/>
      <w:numFmt w:val="bullet"/>
      <w:lvlText w:val=""/>
      <w:lvlJc w:val="left"/>
      <w:pPr>
        <w:ind w:left="5040" w:hanging="360"/>
      </w:pPr>
      <w:rPr>
        <w:rFonts w:hint="default" w:ascii="Symbol" w:hAnsi="Symbol"/>
      </w:rPr>
    </w:lvl>
    <w:lvl w:ilvl="7" w:tplc="D94A6FD2">
      <w:start w:val="1"/>
      <w:numFmt w:val="bullet"/>
      <w:lvlText w:val="o"/>
      <w:lvlJc w:val="left"/>
      <w:pPr>
        <w:ind w:left="5760" w:hanging="360"/>
      </w:pPr>
      <w:rPr>
        <w:rFonts w:hint="default" w:ascii="Courier New" w:hAnsi="Courier New"/>
      </w:rPr>
    </w:lvl>
    <w:lvl w:ilvl="8" w:tplc="3CCAA26E">
      <w:start w:val="1"/>
      <w:numFmt w:val="bullet"/>
      <w:lvlText w:val=""/>
      <w:lvlJc w:val="left"/>
      <w:pPr>
        <w:ind w:left="6480" w:hanging="360"/>
      </w:pPr>
      <w:rPr>
        <w:rFonts w:hint="default" w:ascii="Wingdings" w:hAnsi="Wingdings"/>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hint="default" w:ascii="Symbol" w:hAnsi="Symbol" w:eastAsia="Times New Roman"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hint="default" w:ascii="Symbol" w:hAnsi="Symbol" w:eastAsia="Times New Roman"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hint="default" w:ascii="Symbol" w:hAnsi="Symbol" w:eastAsia="Times New Roman" w:cstheme="minorHAnsi"/>
      </w:rPr>
    </w:lvl>
    <w:lvl w:ilvl="1" w:tplc="10090003" w:tentative="1">
      <w:start w:val="1"/>
      <w:numFmt w:val="bullet"/>
      <w:lvlText w:val="o"/>
      <w:lvlJc w:val="left"/>
      <w:pPr>
        <w:ind w:left="360" w:hanging="360"/>
      </w:pPr>
      <w:rPr>
        <w:rFonts w:hint="default" w:ascii="Courier New" w:hAnsi="Courier New" w:cs="Courier New"/>
      </w:rPr>
    </w:lvl>
    <w:lvl w:ilvl="2" w:tplc="10090005" w:tentative="1">
      <w:start w:val="1"/>
      <w:numFmt w:val="bullet"/>
      <w:lvlText w:val=""/>
      <w:lvlJc w:val="left"/>
      <w:pPr>
        <w:ind w:left="1080" w:hanging="360"/>
      </w:pPr>
      <w:rPr>
        <w:rFonts w:hint="default" w:ascii="Wingdings" w:hAnsi="Wingdings"/>
      </w:rPr>
    </w:lvl>
    <w:lvl w:ilvl="3" w:tplc="10090001" w:tentative="1">
      <w:start w:val="1"/>
      <w:numFmt w:val="bullet"/>
      <w:lvlText w:val=""/>
      <w:lvlJc w:val="left"/>
      <w:pPr>
        <w:ind w:left="1800" w:hanging="360"/>
      </w:pPr>
      <w:rPr>
        <w:rFonts w:hint="default" w:ascii="Symbol" w:hAnsi="Symbol"/>
      </w:rPr>
    </w:lvl>
    <w:lvl w:ilvl="4" w:tplc="10090003" w:tentative="1">
      <w:start w:val="1"/>
      <w:numFmt w:val="bullet"/>
      <w:lvlText w:val="o"/>
      <w:lvlJc w:val="left"/>
      <w:pPr>
        <w:ind w:left="2520" w:hanging="360"/>
      </w:pPr>
      <w:rPr>
        <w:rFonts w:hint="default" w:ascii="Courier New" w:hAnsi="Courier New" w:cs="Courier New"/>
      </w:rPr>
    </w:lvl>
    <w:lvl w:ilvl="5" w:tplc="10090005" w:tentative="1">
      <w:start w:val="1"/>
      <w:numFmt w:val="bullet"/>
      <w:lvlText w:val=""/>
      <w:lvlJc w:val="left"/>
      <w:pPr>
        <w:ind w:left="3240" w:hanging="360"/>
      </w:pPr>
      <w:rPr>
        <w:rFonts w:hint="default" w:ascii="Wingdings" w:hAnsi="Wingdings"/>
      </w:rPr>
    </w:lvl>
    <w:lvl w:ilvl="6" w:tplc="10090001" w:tentative="1">
      <w:start w:val="1"/>
      <w:numFmt w:val="bullet"/>
      <w:lvlText w:val=""/>
      <w:lvlJc w:val="left"/>
      <w:pPr>
        <w:ind w:left="3960" w:hanging="360"/>
      </w:pPr>
      <w:rPr>
        <w:rFonts w:hint="default" w:ascii="Symbol" w:hAnsi="Symbol"/>
      </w:rPr>
    </w:lvl>
    <w:lvl w:ilvl="7" w:tplc="10090003" w:tentative="1">
      <w:start w:val="1"/>
      <w:numFmt w:val="bullet"/>
      <w:lvlText w:val="o"/>
      <w:lvlJc w:val="left"/>
      <w:pPr>
        <w:ind w:left="4680" w:hanging="360"/>
      </w:pPr>
      <w:rPr>
        <w:rFonts w:hint="default" w:ascii="Courier New" w:hAnsi="Courier New" w:cs="Courier New"/>
      </w:rPr>
    </w:lvl>
    <w:lvl w:ilvl="8" w:tplc="10090005" w:tentative="1">
      <w:start w:val="1"/>
      <w:numFmt w:val="bullet"/>
      <w:lvlText w:val=""/>
      <w:lvlJc w:val="left"/>
      <w:pPr>
        <w:ind w:left="5400" w:hanging="360"/>
      </w:pPr>
      <w:rPr>
        <w:rFonts w:hint="default" w:ascii="Wingdings" w:hAnsi="Wingdings"/>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834101075">
    <w:abstractNumId w:val="9"/>
  </w:num>
  <w:num w:numId="2" w16cid:durableId="123891355">
    <w:abstractNumId w:val="18"/>
  </w:num>
  <w:num w:numId="3" w16cid:durableId="1051416095">
    <w:abstractNumId w:val="54"/>
  </w:num>
  <w:num w:numId="4" w16cid:durableId="1679120037">
    <w:abstractNumId w:val="55"/>
  </w:num>
  <w:num w:numId="5" w16cid:durableId="1972781177">
    <w:abstractNumId w:val="20"/>
  </w:num>
  <w:num w:numId="6" w16cid:durableId="894198178">
    <w:abstractNumId w:val="0"/>
  </w:num>
  <w:num w:numId="7" w16cid:durableId="2038458201">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8689B"/>
    <w:rsid w:val="001912B3"/>
    <w:rsid w:val="0019303D"/>
    <w:rsid w:val="001A2947"/>
    <w:rsid w:val="001A5500"/>
    <w:rsid w:val="001C7E3A"/>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A4A7A"/>
    <w:rsid w:val="004B5BD8"/>
    <w:rsid w:val="004B7D7F"/>
    <w:rsid w:val="004D1E63"/>
    <w:rsid w:val="004D2487"/>
    <w:rsid w:val="00513689"/>
    <w:rsid w:val="00526E2B"/>
    <w:rsid w:val="00556113"/>
    <w:rsid w:val="005628FF"/>
    <w:rsid w:val="005E60E6"/>
    <w:rsid w:val="0063017D"/>
    <w:rsid w:val="00656E8D"/>
    <w:rsid w:val="00660794"/>
    <w:rsid w:val="00661C9D"/>
    <w:rsid w:val="00683FC0"/>
    <w:rsid w:val="006A189F"/>
    <w:rsid w:val="006A2CA9"/>
    <w:rsid w:val="006C0A34"/>
    <w:rsid w:val="006C35EE"/>
    <w:rsid w:val="006E0FA0"/>
    <w:rsid w:val="006E372F"/>
    <w:rsid w:val="00741192"/>
    <w:rsid w:val="0078332D"/>
    <w:rsid w:val="00792F4D"/>
    <w:rsid w:val="007A6F89"/>
    <w:rsid w:val="007E2525"/>
    <w:rsid w:val="007F3381"/>
    <w:rsid w:val="007F5B30"/>
    <w:rsid w:val="008161AE"/>
    <w:rsid w:val="00826199"/>
    <w:rsid w:val="00840C2F"/>
    <w:rsid w:val="0084118E"/>
    <w:rsid w:val="008475E1"/>
    <w:rsid w:val="0085042B"/>
    <w:rsid w:val="008558BA"/>
    <w:rsid w:val="00873DDA"/>
    <w:rsid w:val="008822EF"/>
    <w:rsid w:val="00886D98"/>
    <w:rsid w:val="00887BD0"/>
    <w:rsid w:val="008C4F9B"/>
    <w:rsid w:val="008D1313"/>
    <w:rsid w:val="008E119F"/>
    <w:rsid w:val="008E6DC2"/>
    <w:rsid w:val="008F0DB3"/>
    <w:rsid w:val="008F1906"/>
    <w:rsid w:val="008F1F1B"/>
    <w:rsid w:val="00912038"/>
    <w:rsid w:val="00915701"/>
    <w:rsid w:val="009243BB"/>
    <w:rsid w:val="009320D7"/>
    <w:rsid w:val="0093425A"/>
    <w:rsid w:val="0094417D"/>
    <w:rsid w:val="00954EAD"/>
    <w:rsid w:val="00971AA0"/>
    <w:rsid w:val="00972D27"/>
    <w:rsid w:val="00975BFD"/>
    <w:rsid w:val="00986292"/>
    <w:rsid w:val="00986EF6"/>
    <w:rsid w:val="00992065"/>
    <w:rsid w:val="009A7811"/>
    <w:rsid w:val="009C400C"/>
    <w:rsid w:val="009C470C"/>
    <w:rsid w:val="009D584D"/>
    <w:rsid w:val="009E2DAB"/>
    <w:rsid w:val="00A01A44"/>
    <w:rsid w:val="00A24835"/>
    <w:rsid w:val="00A32281"/>
    <w:rsid w:val="00A41E56"/>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04B50FC"/>
    <w:rsid w:val="7AEF9E92"/>
    <w:rsid w:val="7E40F7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D2487"/>
    <w:pPr>
      <w:spacing w:after="0" w:line="240" w:lineRule="auto"/>
    </w:pPr>
    <w:rPr>
      <w:rFonts w:ascii="Calibri" w:hAnsi="Calibri" w:eastAsia="Times New Roman"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hAnsi="Gotham" w:eastAsiaTheme="majorEastAsia"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hAnsi="Gotham" w:eastAsiaTheme="majorEastAsia"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hAnsiTheme="majorHAnsi" w:eastAsiaTheme="majorEastAsia"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hAnsiTheme="majorHAnsi" w:eastAsiaTheme="majorEastAsia"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hAnsiTheme="majorHAnsi" w:eastAsiaTheme="majorEastAsia" w:cstheme="majorBidi"/>
      <w:color w:val="7F2300" w:themeColor="accent1" w:themeShade="7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styleId="HeaderChar" w:customStyle="1">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styleId="FooterChar" w:customStyle="1">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styleId="FootnoteTextChar" w:customStyle="1">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styleId="UnresolvedMention1" w:customStyle="1">
    <w:name w:val="Unresolved Mention1"/>
    <w:basedOn w:val="DefaultParagraphFont"/>
    <w:uiPriority w:val="99"/>
    <w:semiHidden/>
    <w:unhideWhenUsed/>
    <w:rsid w:val="009320D7"/>
    <w:rPr>
      <w:color w:val="605E5C"/>
      <w:shd w:val="clear" w:color="auto" w:fill="E1DFDD"/>
    </w:rPr>
  </w:style>
  <w:style w:type="paragraph" w:styleId="paragraph" w:customStyle="1">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B1565"/>
    <w:rPr>
      <w:rFonts w:ascii="Segoe UI" w:hAnsi="Segoe UI" w:eastAsia="Times New Roman" w:cs="Segoe UI"/>
      <w:sz w:val="18"/>
      <w:szCs w:val="18"/>
      <w:lang w:val="en-US"/>
    </w:rPr>
  </w:style>
  <w:style w:type="character" w:styleId="Heading1Char" w:customStyle="1">
    <w:name w:val="Heading 1 Char"/>
    <w:basedOn w:val="DefaultParagraphFont"/>
    <w:link w:val="Heading1"/>
    <w:uiPriority w:val="9"/>
    <w:rsid w:val="00CF53C9"/>
    <w:rPr>
      <w:rFonts w:ascii="Gotham" w:hAnsi="Gotham" w:eastAsiaTheme="majorEastAsia" w:cstheme="majorBidi"/>
      <w:caps/>
      <w:color w:val="00236D"/>
      <w:sz w:val="32"/>
      <w:szCs w:val="32"/>
      <w:lang w:val="en-US"/>
    </w:rPr>
  </w:style>
  <w:style w:type="character" w:styleId="Heading2Char" w:customStyle="1">
    <w:name w:val="Heading 2 Char"/>
    <w:basedOn w:val="DefaultParagraphFont"/>
    <w:link w:val="Heading2"/>
    <w:uiPriority w:val="9"/>
    <w:rsid w:val="00CF53C9"/>
    <w:rPr>
      <w:rFonts w:ascii="Gotham" w:hAnsi="Gotham" w:eastAsiaTheme="majorEastAsia" w:cstheme="majorBidi"/>
      <w:caps/>
      <w:color w:val="288844"/>
      <w:sz w:val="28"/>
      <w:szCs w:val="26"/>
      <w:lang w:val="en-US"/>
    </w:rPr>
  </w:style>
  <w:style w:type="character" w:styleId="Heading3Char" w:customStyle="1">
    <w:name w:val="Heading 3 Char"/>
    <w:basedOn w:val="DefaultParagraphFont"/>
    <w:link w:val="Heading3"/>
    <w:uiPriority w:val="9"/>
    <w:rsid w:val="00683FC0"/>
    <w:rPr>
      <w:rFonts w:ascii="Calibri" w:hAnsi="Calibri" w:eastAsiaTheme="majorEastAsia"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hAnsi="Gotham" w:eastAsiaTheme="majorEastAsia" w:cstheme="majorBidi"/>
      <w:b/>
      <w:caps/>
      <w:color w:val="00236D"/>
      <w:spacing w:val="-10"/>
      <w:kern w:val="28"/>
      <w:sz w:val="36"/>
      <w:szCs w:val="56"/>
    </w:rPr>
  </w:style>
  <w:style w:type="character" w:styleId="TitleChar" w:customStyle="1">
    <w:name w:val="Title Char"/>
    <w:basedOn w:val="DefaultParagraphFont"/>
    <w:link w:val="Title"/>
    <w:uiPriority w:val="10"/>
    <w:rsid w:val="00683FC0"/>
    <w:rPr>
      <w:rFonts w:ascii="Gotham" w:hAnsi="Gotham" w:eastAsiaTheme="majorEastAsia" w:cstheme="majorBidi"/>
      <w:b/>
      <w:caps/>
      <w:color w:val="00236D"/>
      <w:spacing w:val="-10"/>
      <w:kern w:val="28"/>
      <w:sz w:val="36"/>
      <w:szCs w:val="56"/>
      <w:lang w:val="en-US"/>
    </w:rPr>
  </w:style>
  <w:style w:type="paragraph" w:styleId="Heading2a" w:customStyle="1">
    <w:name w:val="Heading 2a"/>
    <w:next w:val="Heading2"/>
    <w:link w:val="Heading2aChar"/>
    <w:qFormat/>
    <w:rsid w:val="005E60E6"/>
    <w:pPr>
      <w:pBdr>
        <w:top w:val="single" w:color="00236D" w:themeColor="text1" w:sz="4" w:space="4"/>
        <w:left w:val="single" w:color="00236D" w:themeColor="text1" w:sz="4" w:space="4"/>
        <w:bottom w:val="single" w:color="00236D" w:themeColor="text1" w:sz="4" w:space="4"/>
        <w:right w:val="single" w:color="00236D" w:themeColor="text1" w:sz="4" w:space="4"/>
      </w:pBdr>
      <w:shd w:val="clear" w:color="auto" w:fill="D9D9D9" w:themeFill="background1" w:themeFillShade="D9"/>
    </w:pPr>
    <w:rPr>
      <w:rFonts w:ascii="Gotham" w:hAnsi="Gotham" w:eastAsiaTheme="majorEastAsia" w:cstheme="majorBidi"/>
      <w:caps/>
      <w:sz w:val="28"/>
      <w:szCs w:val="24"/>
      <w:lang w:val="en-US"/>
    </w:rPr>
  </w:style>
  <w:style w:type="character" w:styleId="Heading2aChar" w:customStyle="1">
    <w:name w:val="Heading 2a Char"/>
    <w:basedOn w:val="DefaultParagraphFont"/>
    <w:link w:val="Heading2a"/>
    <w:rsid w:val="005E60E6"/>
    <w:rPr>
      <w:rFonts w:ascii="Gotham" w:hAnsi="Gotham" w:eastAsiaTheme="majorEastAsia"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styleId="SubtitleChar" w:customStyle="1">
    <w:name w:val="Subtitle Char"/>
    <w:basedOn w:val="DefaultParagraphFont"/>
    <w:link w:val="Subtitle"/>
    <w:uiPriority w:val="11"/>
    <w:rsid w:val="00683FC0"/>
    <w:rPr>
      <w:rFonts w:ascii="Calibri" w:hAnsi="Calibri" w:eastAsiaTheme="minorEastAsia"/>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color="auto" w:sz="4" w:space="14"/>
        <w:left w:val="single" w:color="auto" w:sz="4" w:space="14"/>
        <w:bottom w:val="single" w:color="auto" w:sz="4" w:space="14"/>
        <w:right w:val="single" w:color="auto" w:sz="4" w:space="14"/>
      </w:pBdr>
      <w:spacing w:before="200" w:after="160"/>
      <w:ind w:left="864" w:right="864"/>
      <w:jc w:val="center"/>
    </w:pPr>
    <w:rPr>
      <w:iCs/>
      <w:color w:val="0042D1" w:themeColor="text1" w:themeTint="BF"/>
    </w:rPr>
  </w:style>
  <w:style w:type="character" w:styleId="QuoteChar" w:customStyle="1">
    <w:name w:val="Quote Char"/>
    <w:basedOn w:val="DefaultParagraphFont"/>
    <w:link w:val="Quote"/>
    <w:uiPriority w:val="29"/>
    <w:rsid w:val="005E60E6"/>
    <w:rPr>
      <w:rFonts w:ascii="Calibri" w:hAnsi="Calibri" w:eastAsia="Times New Roman"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styleId="EndnoteTextChar" w:customStyle="1">
    <w:name w:val="Endnote Text Char"/>
    <w:basedOn w:val="DefaultParagraphFont"/>
    <w:link w:val="EndnoteText"/>
    <w:uiPriority w:val="99"/>
    <w:semiHidden/>
    <w:rsid w:val="00CE00CD"/>
    <w:rPr>
      <w:rFonts w:ascii="Calibri" w:hAnsi="Calibri" w:eastAsia="Times New Roman"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styleId="CommentTextChar" w:customStyle="1">
    <w:name w:val="Comment Text Char"/>
    <w:basedOn w:val="DefaultParagraphFont"/>
    <w:link w:val="CommentText"/>
    <w:uiPriority w:val="99"/>
    <w:semiHidden/>
    <w:rsid w:val="00065146"/>
    <w:rPr>
      <w:rFonts w:ascii="Calibri" w:hAnsi="Calibri" w:eastAsia="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styleId="CommentSubjectChar" w:customStyle="1">
    <w:name w:val="Comment Subject Char"/>
    <w:basedOn w:val="CommentTextChar"/>
    <w:link w:val="CommentSubject"/>
    <w:uiPriority w:val="99"/>
    <w:semiHidden/>
    <w:rsid w:val="00065146"/>
    <w:rPr>
      <w:rFonts w:ascii="Calibri" w:hAnsi="Calibri" w:eastAsia="Times New Roman" w:cs="Times New Roman"/>
      <w:b/>
      <w:bCs/>
      <w:sz w:val="20"/>
      <w:szCs w:val="20"/>
      <w:lang w:val="en-US"/>
    </w:rPr>
  </w:style>
  <w:style w:type="character" w:styleId="xn-location" w:customStyle="1">
    <w:name w:val="xn-location"/>
    <w:basedOn w:val="DefaultParagraphFont"/>
    <w:rsid w:val="00915701"/>
  </w:style>
  <w:style w:type="character" w:styleId="UnresolvedMention2" w:customStyle="1">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hAnsi="Calibri" w:eastAsia="Times New Roman" w:cs="Times New Roman"/>
      <w:color w:val="2C383F"/>
      <w:sz w:val="24"/>
      <w:szCs w:val="20"/>
      <w:lang w:val="en-US"/>
    </w:rPr>
  </w:style>
  <w:style w:type="character" w:styleId="Heading4Char" w:customStyle="1">
    <w:name w:val="Heading 4 Char"/>
    <w:basedOn w:val="DefaultParagraphFont"/>
    <w:link w:val="Heading4"/>
    <w:uiPriority w:val="9"/>
    <w:rsid w:val="00683FC0"/>
    <w:rPr>
      <w:rFonts w:asciiTheme="majorHAnsi" w:hAnsiTheme="majorHAnsi" w:eastAsiaTheme="majorEastAsia" w:cstheme="majorBidi"/>
      <w:i/>
      <w:iCs/>
      <w:color w:val="288844"/>
      <w:sz w:val="24"/>
      <w:szCs w:val="20"/>
      <w:lang w:val="en-US"/>
    </w:rPr>
  </w:style>
  <w:style w:type="character" w:styleId="Heading5Char" w:customStyle="1">
    <w:name w:val="Heading 5 Char"/>
    <w:basedOn w:val="DefaultParagraphFont"/>
    <w:link w:val="Heading5"/>
    <w:uiPriority w:val="9"/>
    <w:rsid w:val="00683FC0"/>
    <w:rPr>
      <w:rFonts w:asciiTheme="majorHAnsi" w:hAnsiTheme="majorHAnsi" w:eastAsiaTheme="majorEastAsia"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styleId="Heading6Char" w:customStyle="1">
    <w:name w:val="Heading 6 Char"/>
    <w:basedOn w:val="DefaultParagraphFont"/>
    <w:link w:val="Heading6"/>
    <w:uiPriority w:val="9"/>
    <w:rsid w:val="004D2487"/>
    <w:rPr>
      <w:rFonts w:asciiTheme="majorHAnsi" w:hAnsiTheme="majorHAnsi" w:eastAsiaTheme="majorEastAsia"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healthinfo@fightingblindness.ca"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xmlns:thm15="http://schemas.microsoft.com/office/thememl/2012/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2.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4.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Accessible FBC Branded (English &amp; French)</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Jackie Rosen</dc:creator>
  <keywords/>
  <dc:description/>
  <lastModifiedBy>Morgan Ineson</lastModifiedBy>
  <revision>26</revision>
  <lastPrinted>2019-06-07T18:48:00.0000000Z</lastPrinted>
  <dcterms:created xsi:type="dcterms:W3CDTF">2025-01-10T16:35:00.0000000Z</dcterms:created>
  <dcterms:modified xsi:type="dcterms:W3CDTF">2026-04-16T15:08:59.7273967Z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