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51C4B" w14:textId="77777777" w:rsidR="00B63BE6" w:rsidRDefault="00B63BE6" w:rsidP="00B63BE6">
      <w:pPr>
        <w:pStyle w:val="Title"/>
        <w:rPr>
          <w:rFonts w:ascii="Arial" w:hAnsi="Arial"/>
          <w:color w:val="auto"/>
          <w:sz w:val="24"/>
        </w:rPr>
      </w:pPr>
      <w:r>
        <w:t>IRD Coffee Connections – Victoria: What You Need to Know</w:t>
      </w:r>
    </w:p>
    <w:p w14:paraId="3ACB2B42" w14:textId="067E5D51" w:rsidR="00B63BE6" w:rsidRDefault="00B63BE6" w:rsidP="00B63BE6">
      <w:pPr>
        <w:spacing w:after="240"/>
      </w:pPr>
      <w:r>
        <w:t xml:space="preserve">Below is a short summary of FBC’s </w:t>
      </w:r>
      <w:r>
        <w:rPr>
          <w:b/>
          <w:bCs/>
        </w:rPr>
        <w:t>Inherited Retinal Diseases (IRD): Coffee Connections – Victoria</w:t>
      </w:r>
      <w:r>
        <w:t xml:space="preserve">, which took place on April </w:t>
      </w:r>
      <w:r>
        <w:t>7</w:t>
      </w:r>
      <w:r>
        <w:t xml:space="preserve">, 2026 and featured Dr. Matthew Benson and Dr. Robert Chow. The full transcript can be found on our website. Visit us at </w:t>
      </w:r>
      <w:hyperlink r:id="rId11" w:history="1">
        <w:r>
          <w:rPr>
            <w:rStyle w:val="Hyperlink"/>
          </w:rPr>
          <w:t>fightingblindness.ca</w:t>
        </w:r>
      </w:hyperlink>
      <w:r>
        <w:t xml:space="preserve"> to discover more!</w:t>
      </w:r>
    </w:p>
    <w:p w14:paraId="1F475DCB" w14:textId="77777777" w:rsidR="00B63BE6" w:rsidRDefault="00B63BE6" w:rsidP="00B63BE6">
      <w:pPr>
        <w:pStyle w:val="Heading2"/>
        <w:rPr>
          <w:rFonts w:eastAsia="Arial"/>
        </w:rPr>
      </w:pPr>
      <w:r>
        <w:rPr>
          <w:rFonts w:eastAsia="Arial"/>
        </w:rPr>
        <w:t>What Are Inherited Retinal Diseases?</w:t>
      </w:r>
    </w:p>
    <w:p w14:paraId="0FE5EDEB" w14:textId="77777777" w:rsidR="00B63BE6" w:rsidRDefault="00B63BE6" w:rsidP="00B63BE6">
      <w:pPr>
        <w:spacing w:after="120"/>
        <w:rPr>
          <w:rFonts w:eastAsia="Arial"/>
        </w:rPr>
      </w:pPr>
      <w:r>
        <w:t>Inherited retinal diseases (IRDs) are a group of genetic conditions that affect the retina — the light-sensitive tissue at the back of the eye. They are caused by mutations in specific genes that are essential for retinal cell function.</w:t>
      </w:r>
    </w:p>
    <w:p w14:paraId="02E51A8E" w14:textId="77777777" w:rsidR="00B63BE6" w:rsidRDefault="00B63BE6" w:rsidP="00B63BE6">
      <w:pPr>
        <w:spacing w:after="120"/>
      </w:pPr>
      <w:r>
        <w:t>There are two main types discussed:</w:t>
      </w:r>
    </w:p>
    <w:p w14:paraId="2A386652" w14:textId="77777777" w:rsidR="00B63BE6" w:rsidRDefault="00B63BE6" w:rsidP="00B63BE6">
      <w:pPr>
        <w:pStyle w:val="ListParagraph"/>
        <w:numPr>
          <w:ilvl w:val="0"/>
          <w:numId w:val="68"/>
        </w:numPr>
        <w:spacing w:after="80"/>
        <w:contextualSpacing w:val="0"/>
      </w:pPr>
      <w:r>
        <w:rPr>
          <w:b/>
          <w:bCs/>
        </w:rPr>
        <w:t xml:space="preserve">Retinitis Pigmentosa (RP) – </w:t>
      </w:r>
      <w:r>
        <w:t>primarily affects the rods and cones (photoreceptors), leading to night blindness, peripheral vision loss, and over time, potential loss of central vision</w:t>
      </w:r>
    </w:p>
    <w:p w14:paraId="50BA1C20" w14:textId="77777777" w:rsidR="00B63BE6" w:rsidRDefault="00B63BE6" w:rsidP="00B63BE6">
      <w:pPr>
        <w:pStyle w:val="ListParagraph"/>
        <w:numPr>
          <w:ilvl w:val="0"/>
          <w:numId w:val="68"/>
        </w:numPr>
        <w:spacing w:after="80"/>
        <w:contextualSpacing w:val="0"/>
      </w:pPr>
      <w:r>
        <w:rPr>
          <w:b/>
          <w:bCs/>
        </w:rPr>
        <w:t xml:space="preserve">Stargardt Disease – </w:t>
      </w:r>
      <w:r>
        <w:t>primarily affects central vision while often preserving peripheral vision; light sensitivity is also a common feature</w:t>
      </w:r>
    </w:p>
    <w:p w14:paraId="0ED5DB48" w14:textId="77777777" w:rsidR="00B63BE6" w:rsidRDefault="00B63BE6" w:rsidP="00B63BE6">
      <w:pPr>
        <w:spacing w:after="80"/>
      </w:pPr>
    </w:p>
    <w:p w14:paraId="3D4A22F6" w14:textId="77777777" w:rsidR="00B63BE6" w:rsidRDefault="00B63BE6" w:rsidP="00B63BE6">
      <w:pPr>
        <w:spacing w:after="120"/>
      </w:pPr>
      <w:r>
        <w:t>There are approximately 470 different genes that can cause IRDs, meaning there is enormous variation in how these conditions present — even among family members with the same genetic change. IRD is not one condition; it is a broad umbrella with many subtypes.</w:t>
      </w:r>
    </w:p>
    <w:p w14:paraId="602C0DFC" w14:textId="77777777" w:rsidR="00B63BE6" w:rsidRDefault="00B63BE6" w:rsidP="00B63BE6">
      <w:pPr>
        <w:spacing w:after="80"/>
      </w:pPr>
    </w:p>
    <w:p w14:paraId="1521557D" w14:textId="77777777" w:rsidR="00B63BE6" w:rsidRDefault="00B63BE6" w:rsidP="00B63BE6">
      <w:pPr>
        <w:pStyle w:val="Heading2"/>
        <w:rPr>
          <w:rFonts w:eastAsia="Arial"/>
        </w:rPr>
      </w:pPr>
      <w:r>
        <w:rPr>
          <w:rFonts w:eastAsia="Arial"/>
        </w:rPr>
        <w:t>How Do These Conditions Affect People Over Time?</w:t>
      </w:r>
    </w:p>
    <w:p w14:paraId="3AD96730" w14:textId="77777777" w:rsidR="00B63BE6" w:rsidRDefault="00B63BE6" w:rsidP="00B63BE6">
      <w:pPr>
        <w:spacing w:after="80"/>
        <w:rPr>
          <w:rFonts w:eastAsia="Arial"/>
        </w:rPr>
      </w:pPr>
      <w:r>
        <w:rPr>
          <w:b/>
          <w:bCs/>
        </w:rPr>
        <w:t>Retinitis Pigmentosa</w:t>
      </w:r>
    </w:p>
    <w:p w14:paraId="415880EB" w14:textId="77777777" w:rsidR="00B63BE6" w:rsidRDefault="00B63BE6" w:rsidP="00B63BE6">
      <w:pPr>
        <w:pStyle w:val="ListParagraph"/>
        <w:numPr>
          <w:ilvl w:val="0"/>
          <w:numId w:val="68"/>
        </w:numPr>
        <w:spacing w:after="80"/>
        <w:contextualSpacing w:val="0"/>
      </w:pPr>
      <w:r>
        <w:t>One of the earliest signs is difficulty adjusting from bright to dim environments — people with RP may take 20–30 minutes to adapt, compared to a few minutes for someone without the condition</w:t>
      </w:r>
    </w:p>
    <w:p w14:paraId="7B568119" w14:textId="77777777" w:rsidR="00B63BE6" w:rsidRDefault="00B63BE6" w:rsidP="00B63BE6">
      <w:pPr>
        <w:pStyle w:val="ListParagraph"/>
        <w:numPr>
          <w:ilvl w:val="0"/>
          <w:numId w:val="68"/>
        </w:numPr>
        <w:spacing w:after="80"/>
        <w:contextualSpacing w:val="0"/>
      </w:pPr>
      <w:r>
        <w:t>Peripheral vision loss and night blindness are hallmark early features</w:t>
      </w:r>
    </w:p>
    <w:p w14:paraId="40A39218" w14:textId="77777777" w:rsidR="00B63BE6" w:rsidRDefault="00B63BE6" w:rsidP="00B63BE6">
      <w:pPr>
        <w:pStyle w:val="ListParagraph"/>
        <w:numPr>
          <w:ilvl w:val="0"/>
          <w:numId w:val="68"/>
        </w:numPr>
        <w:spacing w:after="80"/>
        <w:contextualSpacing w:val="0"/>
      </w:pPr>
      <w:r>
        <w:t>Over time, central vision can also be affected, making it difficult to read, drive, or recognize faces</w:t>
      </w:r>
    </w:p>
    <w:p w14:paraId="5E287FDA" w14:textId="77777777" w:rsidR="00B63BE6" w:rsidRDefault="00B63BE6" w:rsidP="00B63BE6">
      <w:pPr>
        <w:spacing w:after="80"/>
      </w:pPr>
    </w:p>
    <w:p w14:paraId="52BDC5EE" w14:textId="77777777" w:rsidR="00B63BE6" w:rsidRDefault="00B63BE6" w:rsidP="00B63BE6">
      <w:pPr>
        <w:spacing w:after="80"/>
      </w:pPr>
      <w:r>
        <w:rPr>
          <w:b/>
          <w:bCs/>
        </w:rPr>
        <w:t>Stargardt Disease</w:t>
      </w:r>
    </w:p>
    <w:p w14:paraId="555F1F57" w14:textId="77777777" w:rsidR="00B63BE6" w:rsidRDefault="00B63BE6" w:rsidP="00B63BE6">
      <w:pPr>
        <w:pStyle w:val="ListParagraph"/>
        <w:numPr>
          <w:ilvl w:val="0"/>
          <w:numId w:val="68"/>
        </w:numPr>
        <w:spacing w:after="80"/>
        <w:contextualSpacing w:val="0"/>
      </w:pPr>
      <w:r>
        <w:t>Central vision is affected first, while peripheral vision is often preserved</w:t>
      </w:r>
    </w:p>
    <w:p w14:paraId="3D422B51" w14:textId="77777777" w:rsidR="00B63BE6" w:rsidRDefault="00B63BE6" w:rsidP="00B63BE6">
      <w:pPr>
        <w:pStyle w:val="ListParagraph"/>
        <w:numPr>
          <w:ilvl w:val="0"/>
          <w:numId w:val="68"/>
        </w:numPr>
        <w:spacing w:after="80"/>
        <w:contextualSpacing w:val="0"/>
      </w:pPr>
      <w:r>
        <w:t>Light sensitivity is a common symptom</w:t>
      </w:r>
    </w:p>
    <w:p w14:paraId="2E848CAE" w14:textId="77777777" w:rsidR="00B63BE6" w:rsidRDefault="00B63BE6" w:rsidP="00B63BE6">
      <w:pPr>
        <w:pStyle w:val="ListParagraph"/>
        <w:numPr>
          <w:ilvl w:val="0"/>
          <w:numId w:val="68"/>
        </w:numPr>
        <w:spacing w:after="80"/>
        <w:contextualSpacing w:val="0"/>
      </w:pPr>
      <w:r>
        <w:lastRenderedPageBreak/>
        <w:t>There is significant variability even within Stargardt disease — some forms can also affect peripheral vision</w:t>
      </w:r>
    </w:p>
    <w:p w14:paraId="2E15C947" w14:textId="77777777" w:rsidR="00B63BE6" w:rsidRDefault="00B63BE6" w:rsidP="00B63BE6">
      <w:pPr>
        <w:spacing w:after="80"/>
      </w:pPr>
    </w:p>
    <w:p w14:paraId="14D76902" w14:textId="77777777" w:rsidR="00B63BE6" w:rsidRDefault="00B63BE6" w:rsidP="00B63BE6">
      <w:pPr>
        <w:pStyle w:val="Heading2"/>
        <w:rPr>
          <w:rFonts w:eastAsia="Arial"/>
        </w:rPr>
      </w:pPr>
      <w:r>
        <w:rPr>
          <w:rFonts w:eastAsia="Arial"/>
        </w:rPr>
        <w:t>Current Research Approaches</w:t>
      </w:r>
    </w:p>
    <w:p w14:paraId="26E43EC1" w14:textId="77777777" w:rsidR="00B63BE6" w:rsidRDefault="00B63BE6" w:rsidP="00B63BE6">
      <w:pPr>
        <w:spacing w:after="80"/>
        <w:rPr>
          <w:rFonts w:eastAsia="Arial"/>
        </w:rPr>
      </w:pPr>
      <w:r>
        <w:rPr>
          <w:b/>
          <w:bCs/>
        </w:rPr>
        <w:t>Gene Therapy</w:t>
      </w:r>
    </w:p>
    <w:p w14:paraId="1D484177" w14:textId="77777777" w:rsidR="00B63BE6" w:rsidRDefault="00B63BE6" w:rsidP="00B63BE6">
      <w:pPr>
        <w:spacing w:after="120"/>
      </w:pPr>
      <w:r>
        <w:t>Gene therapy aims to introduce a correct copy of a defective gene back into the retina. One area where this has already succeeded is Leber congenital amaurosis (LCA), caused by a defect in the retinal pigment epithelium (RPE) — a single layer of cells that is relatively easy to target. A gene therapy called Luxturna has been approved in Canada for this condition.</w:t>
      </w:r>
    </w:p>
    <w:p w14:paraId="7804336A" w14:textId="77777777" w:rsidR="00B63BE6" w:rsidRDefault="00B63BE6" w:rsidP="00B63BE6">
      <w:pPr>
        <w:spacing w:after="120"/>
      </w:pPr>
      <w:r>
        <w:t>Gene therapy is more challenging for conditions like Stargardt disease, where the causative gene (ABCA4) is very large and difficult to package for delivery.</w:t>
      </w:r>
    </w:p>
    <w:p w14:paraId="54356AC2" w14:textId="77777777" w:rsidR="00B63BE6" w:rsidRDefault="00B63BE6" w:rsidP="00B63BE6">
      <w:pPr>
        <w:spacing w:after="80"/>
      </w:pPr>
    </w:p>
    <w:p w14:paraId="204D7B0E" w14:textId="77777777" w:rsidR="00B63BE6" w:rsidRDefault="00B63BE6" w:rsidP="00B63BE6">
      <w:pPr>
        <w:spacing w:after="80"/>
      </w:pPr>
      <w:r>
        <w:rPr>
          <w:b/>
          <w:bCs/>
        </w:rPr>
        <w:t>Neuroprotection</w:t>
      </w:r>
    </w:p>
    <w:p w14:paraId="5776951C" w14:textId="77777777" w:rsidR="00B63BE6" w:rsidRDefault="00B63BE6" w:rsidP="00B63BE6">
      <w:pPr>
        <w:spacing w:after="120"/>
      </w:pPr>
      <w:r>
        <w:t>Neuroprotective research aims to understand the mechanisms that lead to photoreceptor cell death and develop drugs or small molecules to slow or stop that process — without necessarily replacing the cells that have already been lost.</w:t>
      </w:r>
    </w:p>
    <w:p w14:paraId="7B4348E2" w14:textId="77777777" w:rsidR="00B63BE6" w:rsidRDefault="00B63BE6" w:rsidP="00B63BE6">
      <w:pPr>
        <w:spacing w:after="80"/>
      </w:pPr>
    </w:p>
    <w:p w14:paraId="5F4FEDA7" w14:textId="77777777" w:rsidR="00B63BE6" w:rsidRDefault="00B63BE6" w:rsidP="00B63BE6">
      <w:pPr>
        <w:spacing w:after="80"/>
      </w:pPr>
      <w:r>
        <w:rPr>
          <w:b/>
          <w:bCs/>
        </w:rPr>
        <w:t>Cell Replacement</w:t>
      </w:r>
    </w:p>
    <w:p w14:paraId="185CFAB5" w14:textId="77777777" w:rsidR="00B63BE6" w:rsidRDefault="00B63BE6" w:rsidP="00B63BE6">
      <w:pPr>
        <w:spacing w:after="120"/>
      </w:pPr>
      <w:r>
        <w:t>For patients who have already lost significant numbers of photoreceptor cells, stem cell-based approaches aim to generate new photoreceptor cells in the lab and introduce them into the retina. FBC-funded research by Dr. David Lam is working toward a clinical trial for this approach.</w:t>
      </w:r>
    </w:p>
    <w:p w14:paraId="420ABFD4" w14:textId="77777777" w:rsidR="00B63BE6" w:rsidRDefault="00B63BE6" w:rsidP="00B63BE6">
      <w:pPr>
        <w:spacing w:after="80"/>
      </w:pPr>
    </w:p>
    <w:p w14:paraId="316E0C32" w14:textId="77777777" w:rsidR="00B63BE6" w:rsidRDefault="00B63BE6" w:rsidP="00B63BE6">
      <w:pPr>
        <w:spacing w:after="80"/>
      </w:pPr>
      <w:r>
        <w:rPr>
          <w:b/>
          <w:bCs/>
        </w:rPr>
        <w:t>Retinal Prosthetics and Optogenetics</w:t>
      </w:r>
    </w:p>
    <w:p w14:paraId="65D6AE62" w14:textId="77777777" w:rsidR="00B63BE6" w:rsidRDefault="00B63BE6" w:rsidP="00B63BE6">
      <w:pPr>
        <w:spacing w:after="120"/>
      </w:pPr>
      <w:r>
        <w:t>Both approaches bypass lost photoreceptors entirely and aim to activate the retinal ganglion cells — the output cells that transmit visual signals to the brain:</w:t>
      </w:r>
    </w:p>
    <w:p w14:paraId="77ECC5BB" w14:textId="77777777" w:rsidR="00B63BE6" w:rsidRDefault="00B63BE6" w:rsidP="00B63BE6">
      <w:pPr>
        <w:pStyle w:val="ListParagraph"/>
        <w:numPr>
          <w:ilvl w:val="0"/>
          <w:numId w:val="68"/>
        </w:numPr>
        <w:spacing w:after="80"/>
        <w:contextualSpacing w:val="0"/>
      </w:pPr>
      <w:r>
        <w:rPr>
          <w:b/>
          <w:bCs/>
        </w:rPr>
        <w:t xml:space="preserve">Optogenetics: </w:t>
      </w:r>
      <w:r>
        <w:t>light-sensitive proteins are introduced into retinal cells that don’t normally detect light, enabling them to respond to light and transmit signals to the brain. Early human trials are underway — the main treatment being studied is MCO-010 (Nanoscope). Current goals are modest: restoring some light perception rather than high-resolution vision, primarily for patients with very advanced vision loss.</w:t>
      </w:r>
    </w:p>
    <w:p w14:paraId="516A98DC" w14:textId="77777777" w:rsidR="00B63BE6" w:rsidRDefault="00B63BE6" w:rsidP="00B63BE6">
      <w:pPr>
        <w:pStyle w:val="ListParagraph"/>
        <w:numPr>
          <w:ilvl w:val="0"/>
          <w:numId w:val="68"/>
        </w:numPr>
        <w:spacing w:after="80"/>
        <w:contextualSpacing w:val="0"/>
      </w:pPr>
      <w:r>
        <w:rPr>
          <w:b/>
          <w:bCs/>
        </w:rPr>
        <w:t xml:space="preserve">Retinal prosthetics: </w:t>
      </w:r>
      <w:r>
        <w:t>a chip implanted in or on the retina delivers small electrical impulses to activate ganglion cells, mimicking what photoreceptors would normally do. The Argus II was an early device that is no longer being offered. A newer device called PRIMA is in phase three trials for patients with AMD-related central vision loss, with early results showing around 80% of patients noticed improvement.</w:t>
      </w:r>
    </w:p>
    <w:p w14:paraId="01770891" w14:textId="77777777" w:rsidR="00B63BE6" w:rsidRDefault="00B63BE6" w:rsidP="00B63BE6">
      <w:pPr>
        <w:spacing w:after="80"/>
      </w:pPr>
    </w:p>
    <w:p w14:paraId="4E905195" w14:textId="77777777" w:rsidR="00B63BE6" w:rsidRDefault="00B63BE6" w:rsidP="00B63BE6">
      <w:pPr>
        <w:pStyle w:val="Heading2"/>
        <w:rPr>
          <w:rFonts w:eastAsia="Arial"/>
        </w:rPr>
      </w:pPr>
      <w:r>
        <w:rPr>
          <w:rFonts w:eastAsia="Arial"/>
        </w:rPr>
        <w:t>Stargardt Disease Research at UVic</w:t>
      </w:r>
    </w:p>
    <w:p w14:paraId="11968FBC" w14:textId="77777777" w:rsidR="00B63BE6" w:rsidRDefault="00B63BE6" w:rsidP="00B63BE6">
      <w:pPr>
        <w:spacing w:after="120"/>
        <w:rPr>
          <w:rFonts w:eastAsia="Arial"/>
        </w:rPr>
      </w:pPr>
      <w:r>
        <w:t>Dr. Robert Chow’s lab at the University of Victoria is studying Stargardt disease. When the ABCA4 gene is mutated, it disrupts a recycling process within the RPE cells, causing toxic waste to accumulate. This buildup triggers an immune response and inflammation in the retina, which is thought to worsen the disease. Dr. Chow’s team is focused on interrupting that inflammatory cascade to slow progression.</w:t>
      </w:r>
    </w:p>
    <w:p w14:paraId="5814CCA1" w14:textId="77777777" w:rsidR="00B63BE6" w:rsidRDefault="00B63BE6" w:rsidP="00B63BE6">
      <w:pPr>
        <w:spacing w:after="80"/>
      </w:pPr>
    </w:p>
    <w:p w14:paraId="30FB1235" w14:textId="77777777" w:rsidR="00B63BE6" w:rsidRDefault="00B63BE6" w:rsidP="00B63BE6">
      <w:pPr>
        <w:pStyle w:val="Heading2"/>
        <w:rPr>
          <w:rFonts w:eastAsia="Arial"/>
        </w:rPr>
      </w:pPr>
      <w:r>
        <w:rPr>
          <w:rFonts w:eastAsia="Arial"/>
        </w:rPr>
        <w:t>Why Genetic Testing Matters</w:t>
      </w:r>
    </w:p>
    <w:p w14:paraId="2AF64D4D" w14:textId="77777777" w:rsidR="00B63BE6" w:rsidRDefault="00B63BE6" w:rsidP="00B63BE6">
      <w:pPr>
        <w:spacing w:after="120"/>
        <w:rPr>
          <w:rFonts w:eastAsia="Arial"/>
        </w:rPr>
      </w:pPr>
      <w:r>
        <w:t>Genetic testing has become the standard of care for inherited retinal diseases. Here’s why it matters:</w:t>
      </w:r>
    </w:p>
    <w:p w14:paraId="460058D7" w14:textId="77777777" w:rsidR="00B63BE6" w:rsidRDefault="00B63BE6" w:rsidP="00B63BE6">
      <w:pPr>
        <w:pStyle w:val="ListParagraph"/>
        <w:numPr>
          <w:ilvl w:val="0"/>
          <w:numId w:val="68"/>
        </w:numPr>
        <w:spacing w:after="80"/>
        <w:contextualSpacing w:val="0"/>
      </w:pPr>
      <w:r>
        <w:rPr>
          <w:b/>
          <w:bCs/>
        </w:rPr>
        <w:t xml:space="preserve">Clinical trial eligibility: </w:t>
      </w:r>
      <w:r>
        <w:t>Many ongoing trials require a confirmed genetic diagnosis. Knowing your specific mutation is the first step to accessing relevant studies.</w:t>
      </w:r>
    </w:p>
    <w:p w14:paraId="165D1017" w14:textId="77777777" w:rsidR="00B63BE6" w:rsidRDefault="00B63BE6" w:rsidP="00B63BE6">
      <w:pPr>
        <w:pStyle w:val="ListParagraph"/>
        <w:numPr>
          <w:ilvl w:val="0"/>
          <w:numId w:val="68"/>
        </w:numPr>
        <w:spacing w:after="80"/>
        <w:contextualSpacing w:val="0"/>
      </w:pPr>
      <w:r>
        <w:rPr>
          <w:b/>
          <w:bCs/>
        </w:rPr>
        <w:t xml:space="preserve">Empowerment: </w:t>
      </w:r>
      <w:r>
        <w:t>Understanding exactly what is causing your condition — and knowing that research is targeting that gene or pathway — can be empowering, particularly for those who have been told there is nothing that can be done.</w:t>
      </w:r>
    </w:p>
    <w:p w14:paraId="0B3F0FFC" w14:textId="77777777" w:rsidR="00B63BE6" w:rsidRDefault="00B63BE6" w:rsidP="00B63BE6">
      <w:pPr>
        <w:pStyle w:val="ListParagraph"/>
        <w:numPr>
          <w:ilvl w:val="0"/>
          <w:numId w:val="68"/>
        </w:numPr>
        <w:spacing w:after="80"/>
        <w:contextualSpacing w:val="0"/>
      </w:pPr>
      <w:r>
        <w:rPr>
          <w:b/>
          <w:bCs/>
        </w:rPr>
        <w:t xml:space="preserve">Family planning: </w:t>
      </w:r>
      <w:r>
        <w:t>Genetic information can help family members understand their own risk and decide whether to seek testing.</w:t>
      </w:r>
    </w:p>
    <w:p w14:paraId="0D54F0EB" w14:textId="77777777" w:rsidR="00B63BE6" w:rsidRDefault="00B63BE6" w:rsidP="00B63BE6">
      <w:pPr>
        <w:pStyle w:val="ListParagraph"/>
        <w:numPr>
          <w:ilvl w:val="0"/>
          <w:numId w:val="68"/>
        </w:numPr>
        <w:spacing w:after="80"/>
        <w:contextualSpacing w:val="0"/>
      </w:pPr>
      <w:r>
        <w:rPr>
          <w:b/>
          <w:bCs/>
        </w:rPr>
        <w:t xml:space="preserve">Patient registry: </w:t>
      </w:r>
      <w:r>
        <w:t>A national registry — with enrolment sites at the University of Alberta and UBC — maintains a secure database of patients who have had genetic testing. If a relevant clinical trial opens anywhere in Canada, participants can be notified.</w:t>
      </w:r>
    </w:p>
    <w:p w14:paraId="0EAB2DF5" w14:textId="77777777" w:rsidR="00B63BE6" w:rsidRDefault="00B63BE6" w:rsidP="00B63BE6">
      <w:pPr>
        <w:spacing w:after="80"/>
      </w:pPr>
    </w:p>
    <w:p w14:paraId="580EC786" w14:textId="77777777" w:rsidR="00B63BE6" w:rsidRDefault="00B63BE6" w:rsidP="00B63BE6">
      <w:pPr>
        <w:spacing w:after="120"/>
      </w:pPr>
      <w:r>
        <w:rPr>
          <w:b/>
          <w:bCs/>
        </w:rPr>
        <w:t xml:space="preserve">Important: </w:t>
      </w:r>
      <w:r>
        <w:t>Genetic testing for IRDs is now provincially covered across Canada — there is no cost to patients. Testing is typically done with a buccal (cheek) swab, and results are returned in a couple of months. The kit can often be mailed to you.</w:t>
      </w:r>
    </w:p>
    <w:p w14:paraId="4A09505F" w14:textId="77777777" w:rsidR="00B63BE6" w:rsidRDefault="00B63BE6" w:rsidP="00B63BE6">
      <w:pPr>
        <w:spacing w:after="80"/>
      </w:pPr>
    </w:p>
    <w:p w14:paraId="625D2D8B" w14:textId="77777777" w:rsidR="00B63BE6" w:rsidRDefault="00B63BE6" w:rsidP="00B63BE6">
      <w:pPr>
        <w:pStyle w:val="Heading2"/>
        <w:rPr>
          <w:rFonts w:eastAsia="Arial"/>
        </w:rPr>
      </w:pPr>
      <w:r>
        <w:rPr>
          <w:rFonts w:eastAsia="Arial"/>
        </w:rPr>
        <w:t>Common Questions About Genetic Testing</w:t>
      </w:r>
    </w:p>
    <w:p w14:paraId="2BA90FF4" w14:textId="77777777" w:rsidR="00B63BE6" w:rsidRDefault="00B63BE6" w:rsidP="00B63BE6">
      <w:pPr>
        <w:pStyle w:val="ListParagraph"/>
        <w:numPr>
          <w:ilvl w:val="0"/>
          <w:numId w:val="68"/>
        </w:numPr>
        <w:spacing w:after="80"/>
        <w:contextualSpacing w:val="0"/>
        <w:rPr>
          <w:rFonts w:eastAsia="Arial"/>
        </w:rPr>
      </w:pPr>
      <w:r>
        <w:rPr>
          <w:b/>
          <w:bCs/>
        </w:rPr>
        <w:t xml:space="preserve">Do I have to travel to a major centre to get tested? </w:t>
      </w:r>
      <w:r>
        <w:t>In theory, any physician can order genetic testing. If a family member has already been tested and a mutation identified, testing for that specific change can often be arranged locally. For new patients without a family history of testing, it may be more complex, but virtual genetic counseling is increasingly available.</w:t>
      </w:r>
    </w:p>
    <w:p w14:paraId="0FD5D10B" w14:textId="77777777" w:rsidR="00B63BE6" w:rsidRDefault="00B63BE6" w:rsidP="00B63BE6">
      <w:pPr>
        <w:pStyle w:val="ListParagraph"/>
        <w:numPr>
          <w:ilvl w:val="0"/>
          <w:numId w:val="68"/>
        </w:numPr>
        <w:spacing w:after="80"/>
        <w:contextualSpacing w:val="0"/>
      </w:pPr>
      <w:r>
        <w:rPr>
          <w:b/>
          <w:bCs/>
        </w:rPr>
        <w:t xml:space="preserve">What if I’m worried about what the results might reveal? </w:t>
      </w:r>
      <w:r>
        <w:t xml:space="preserve">The panels used for retinal disease testing are focused specifically on genes associated with inherited retinal conditions — not hereditary cancers or heart disease. That said, a small number of genes can occasionally have implications beyond the eye. Genetic counseling before </w:t>
      </w:r>
      <w:r>
        <w:lastRenderedPageBreak/>
        <w:t>testing helps patients understand what they may learn and decide whether to proceed. This is a personal decision, and choosing not to be tested is completely valid.</w:t>
      </w:r>
    </w:p>
    <w:p w14:paraId="18C15ED4" w14:textId="77777777" w:rsidR="00B63BE6" w:rsidRDefault="00B63BE6" w:rsidP="00B63BE6">
      <w:pPr>
        <w:pStyle w:val="ListParagraph"/>
        <w:numPr>
          <w:ilvl w:val="0"/>
          <w:numId w:val="68"/>
        </w:numPr>
        <w:spacing w:after="80"/>
        <w:contextualSpacing w:val="0"/>
      </w:pPr>
      <w:r>
        <w:rPr>
          <w:b/>
          <w:bCs/>
        </w:rPr>
        <w:t xml:space="preserve">What if my test came back negative? </w:t>
      </w:r>
      <w:r>
        <w:t>A negative result does not mean the condition is not genetic — it may mean the causative change is in a region that was not sequenced. Testing strategies are evolving toward broader approaches (whole exome and whole genome sequencing), and it is worth discussing retesting with your ophthalmologist every few years as the field advances. Currently, a genetic answer is found in about 70% of patients with RP.</w:t>
      </w:r>
    </w:p>
    <w:p w14:paraId="4D5F9799" w14:textId="77777777" w:rsidR="00B63BE6" w:rsidRDefault="00B63BE6" w:rsidP="00B63BE6">
      <w:pPr>
        <w:spacing w:after="80"/>
      </w:pPr>
    </w:p>
    <w:p w14:paraId="6747A557" w14:textId="77777777" w:rsidR="00B63BE6" w:rsidRDefault="00B63BE6" w:rsidP="00B63BE6">
      <w:pPr>
        <w:pStyle w:val="Heading2"/>
        <w:rPr>
          <w:rFonts w:eastAsia="Arial"/>
        </w:rPr>
      </w:pPr>
      <w:r>
        <w:rPr>
          <w:rFonts w:eastAsia="Arial"/>
        </w:rPr>
        <w:t>Supplements and Vitamins: What to Know</w:t>
      </w:r>
    </w:p>
    <w:p w14:paraId="429EF5DD" w14:textId="77777777" w:rsidR="00B63BE6" w:rsidRDefault="00B63BE6" w:rsidP="00B63BE6">
      <w:pPr>
        <w:spacing w:after="120"/>
        <w:rPr>
          <w:rFonts w:eastAsia="Arial"/>
        </w:rPr>
      </w:pPr>
      <w:r>
        <w:t>Not all supplements are appropriate for all IRD patients. Here are two important specific points:</w:t>
      </w:r>
    </w:p>
    <w:p w14:paraId="674AF168" w14:textId="77777777" w:rsidR="00B63BE6" w:rsidRDefault="00B63BE6" w:rsidP="00B63BE6">
      <w:pPr>
        <w:pStyle w:val="ListParagraph"/>
        <w:numPr>
          <w:ilvl w:val="0"/>
          <w:numId w:val="68"/>
        </w:numPr>
        <w:spacing w:after="80"/>
        <w:contextualSpacing w:val="0"/>
      </w:pPr>
      <w:r>
        <w:rPr>
          <w:b/>
          <w:bCs/>
        </w:rPr>
        <w:t xml:space="preserve">Stargardt disease: </w:t>
      </w:r>
      <w:r>
        <w:t>High-dose vitamin A supplements are best avoided. Vitamin A derivatives are part of what accumulates as toxic waste in the retina in Stargardt disease. This does not mean modifying your diet or avoiding standard multivitamins — it specifically means avoiding high-dose vitamin A supplements.</w:t>
      </w:r>
    </w:p>
    <w:p w14:paraId="411BFF9E" w14:textId="77777777" w:rsidR="00B63BE6" w:rsidRDefault="00B63BE6" w:rsidP="00B63BE6">
      <w:pPr>
        <w:pStyle w:val="ListParagraph"/>
        <w:numPr>
          <w:ilvl w:val="0"/>
          <w:numId w:val="68"/>
        </w:numPr>
        <w:spacing w:after="80"/>
        <w:contextualSpacing w:val="0"/>
      </w:pPr>
      <w:r>
        <w:rPr>
          <w:b/>
          <w:bCs/>
        </w:rPr>
        <w:t xml:space="preserve">Retinitis pigmentosa: </w:t>
      </w:r>
      <w:r>
        <w:t>The AREDS2 multivitamins commonly recommended for macular degeneration contain 400 IU of vitamin E. Studies have found that vitamin E at this dose may be harmful for patients with RP. For this reason, AMD multivitamins are not recommended for RP patients. Discuss any supplements you are taking with your ophthalmologist.</w:t>
      </w:r>
    </w:p>
    <w:p w14:paraId="6A2A2C42" w14:textId="77777777" w:rsidR="00B63BE6" w:rsidRDefault="00B63BE6" w:rsidP="00B63BE6">
      <w:pPr>
        <w:spacing w:after="80"/>
      </w:pPr>
    </w:p>
    <w:p w14:paraId="6EF0D456" w14:textId="77777777" w:rsidR="00B63BE6" w:rsidRDefault="00B63BE6" w:rsidP="00B63BE6">
      <w:pPr>
        <w:spacing w:after="120"/>
      </w:pPr>
      <w:r>
        <w:rPr>
          <w:b/>
          <w:bCs/>
        </w:rPr>
        <w:t xml:space="preserve">Reminder: </w:t>
      </w:r>
      <w:r>
        <w:t>Always tell your healthcare provider about any supplements or vitamins you are taking, just as you would with medications.</w:t>
      </w:r>
    </w:p>
    <w:p w14:paraId="280EEAD1" w14:textId="77777777" w:rsidR="00B63BE6" w:rsidRDefault="00B63BE6" w:rsidP="00B63BE6">
      <w:pPr>
        <w:spacing w:after="80"/>
      </w:pPr>
    </w:p>
    <w:p w14:paraId="5F532C44" w14:textId="77777777" w:rsidR="00B63BE6" w:rsidRDefault="00B63BE6" w:rsidP="00B63BE6">
      <w:pPr>
        <w:pStyle w:val="Heading2"/>
        <w:rPr>
          <w:rFonts w:eastAsia="Arial"/>
        </w:rPr>
      </w:pPr>
      <w:r>
        <w:rPr>
          <w:rFonts w:eastAsia="Arial"/>
        </w:rPr>
        <w:t>Light Sensitivity in RP</w:t>
      </w:r>
    </w:p>
    <w:p w14:paraId="14D60C77" w14:textId="77777777" w:rsidR="00B63BE6" w:rsidRDefault="00B63BE6" w:rsidP="00B63BE6">
      <w:pPr>
        <w:spacing w:after="120"/>
        <w:rPr>
          <w:rFonts w:eastAsia="Arial"/>
        </w:rPr>
      </w:pPr>
      <w:r>
        <w:t>Glare and light sensitivity are very common symptoms in RP, likely related to cones in the central retina becoming affected as the disease progresses. There is no single standard solution — it tends to be individual. Coloured tinted lenses are often helpful and worth exploring through CNIB or a low vision clinic. Very dark sunglasses are not always ideal, as limiting light too much can worsen the existing difficulty in low-light environments. There is currently no medication that reliably addresses these symptoms, though it is an area that deserves more research attention.</w:t>
      </w:r>
    </w:p>
    <w:p w14:paraId="72A8E9F3" w14:textId="77777777" w:rsidR="00B63BE6" w:rsidRDefault="00B63BE6" w:rsidP="00B63BE6">
      <w:pPr>
        <w:spacing w:after="80"/>
      </w:pPr>
    </w:p>
    <w:p w14:paraId="5523FC5F" w14:textId="77777777" w:rsidR="00B63BE6" w:rsidRDefault="00B63BE6" w:rsidP="00B63BE6">
      <w:pPr>
        <w:pStyle w:val="Heading2"/>
        <w:rPr>
          <w:rFonts w:eastAsia="Arial"/>
        </w:rPr>
      </w:pPr>
      <w:r>
        <w:rPr>
          <w:rFonts w:eastAsia="Arial"/>
        </w:rPr>
        <w:t>Assistive Technology: Smart Glasses</w:t>
      </w:r>
    </w:p>
    <w:p w14:paraId="6095B455" w14:textId="77777777" w:rsidR="00B63BE6" w:rsidRDefault="00B63BE6" w:rsidP="00B63BE6">
      <w:pPr>
        <w:spacing w:after="120"/>
        <w:rPr>
          <w:rFonts w:eastAsia="Arial"/>
        </w:rPr>
      </w:pPr>
      <w:r>
        <w:t xml:space="preserve">Smart glasses — such as Meta Ray-Bans — have been helpful for some patients with low vision, though results are very individual. These devices were not designed specifically for low vision, </w:t>
      </w:r>
      <w:r>
        <w:lastRenderedPageBreak/>
        <w:t>but some patients have found them useful. Companies are now developing AI-powered smart glasses specifically for low vision users with features more tailored to that population. If there are demonstration opportunities available near you — through CNIB or a low vision clinic — trying them before purchasing is recommended. The technology is advancing quickly, and future generations of these devices will likely be significantly more capable.</w:t>
      </w:r>
    </w:p>
    <w:p w14:paraId="6A340954" w14:textId="77777777" w:rsidR="00B63BE6" w:rsidRDefault="00B63BE6" w:rsidP="00B63BE6">
      <w:pPr>
        <w:spacing w:after="80"/>
      </w:pPr>
    </w:p>
    <w:p w14:paraId="6956BD4B" w14:textId="77777777" w:rsidR="00B63BE6" w:rsidRDefault="00B63BE6" w:rsidP="00B63BE6">
      <w:pPr>
        <w:pStyle w:val="Heading2"/>
        <w:rPr>
          <w:rFonts w:eastAsia="Arial"/>
        </w:rPr>
      </w:pPr>
      <w:r>
        <w:rPr>
          <w:rFonts w:eastAsia="Arial"/>
        </w:rPr>
        <w:t>Staying Informed and Finding Support</w:t>
      </w:r>
    </w:p>
    <w:p w14:paraId="3FA8E806" w14:textId="77777777" w:rsidR="00B63BE6" w:rsidRDefault="00B63BE6" w:rsidP="00B63BE6">
      <w:pPr>
        <w:pStyle w:val="ListParagraph"/>
        <w:numPr>
          <w:ilvl w:val="0"/>
          <w:numId w:val="68"/>
        </w:numPr>
        <w:spacing w:after="80"/>
        <w:contextualSpacing w:val="0"/>
        <w:rPr>
          <w:rFonts w:eastAsia="Arial"/>
        </w:rPr>
      </w:pPr>
      <w:r>
        <w:rPr>
          <w:b/>
          <w:bCs/>
        </w:rPr>
        <w:t xml:space="preserve">FBC Health Information Line: </w:t>
      </w:r>
      <w:r>
        <w:t>Available by phone and email at healthinfo@fightingblindness.ca. Staff can help you find information about your specific condition, identify relevant clinical trials, and connect you with resources.</w:t>
      </w:r>
    </w:p>
    <w:p w14:paraId="4DD9F8BC" w14:textId="77777777" w:rsidR="00B63BE6" w:rsidRDefault="00B63BE6" w:rsidP="00B63BE6">
      <w:pPr>
        <w:pStyle w:val="ListParagraph"/>
        <w:numPr>
          <w:ilvl w:val="0"/>
          <w:numId w:val="68"/>
        </w:numPr>
        <w:spacing w:after="80"/>
        <w:contextualSpacing w:val="0"/>
      </w:pPr>
      <w:r>
        <w:rPr>
          <w:b/>
          <w:bCs/>
        </w:rPr>
        <w:t xml:space="preserve">Clinical trials: </w:t>
      </w:r>
      <w:r>
        <w:t>FBC maintains a list of notable clinical trials on its website. The field is moving quickly — what wasn’t available a few years ago may now be in trials.</w:t>
      </w:r>
    </w:p>
    <w:p w14:paraId="3E2813DF" w14:textId="77777777" w:rsidR="00B63BE6" w:rsidRDefault="00B63BE6" w:rsidP="00B63BE6">
      <w:pPr>
        <w:pStyle w:val="ListParagraph"/>
        <w:numPr>
          <w:ilvl w:val="0"/>
          <w:numId w:val="68"/>
        </w:numPr>
        <w:spacing w:after="80"/>
        <w:contextualSpacing w:val="0"/>
      </w:pPr>
      <w:r>
        <w:rPr>
          <w:b/>
          <w:bCs/>
        </w:rPr>
        <w:t xml:space="preserve">Patient registry: </w:t>
      </w:r>
      <w:r>
        <w:t>Enrolling in the national IRD patient registry keeps you informed when new trials relevant to your condition open across Canada. Ask your ophthalmologist or contact FBC for more information.</w:t>
      </w:r>
    </w:p>
    <w:p w14:paraId="228F281B" w14:textId="77777777" w:rsidR="00B63BE6" w:rsidRDefault="00B63BE6" w:rsidP="00B63BE6">
      <w:pPr>
        <w:pStyle w:val="ListParagraph"/>
        <w:numPr>
          <w:ilvl w:val="0"/>
          <w:numId w:val="68"/>
        </w:numPr>
        <w:spacing w:after="80"/>
        <w:contextualSpacing w:val="0"/>
      </w:pPr>
      <w:r>
        <w:rPr>
          <w:b/>
          <w:bCs/>
        </w:rPr>
        <w:t xml:space="preserve">Peer support: </w:t>
      </w:r>
      <w:r>
        <w:t>FBC can help facilitate connections between patients who are living with similar conditions, with consent from both individuals. Online communities and peer programs are also being developed.</w:t>
      </w:r>
    </w:p>
    <w:p w14:paraId="69026255" w14:textId="77777777" w:rsidR="00B63BE6" w:rsidRDefault="00B63BE6" w:rsidP="00B63BE6">
      <w:pPr>
        <w:spacing w:after="80"/>
      </w:pPr>
    </w:p>
    <w:p w14:paraId="1B833E82" w14:textId="77777777" w:rsidR="00B63BE6" w:rsidRDefault="00B63BE6" w:rsidP="00B63BE6">
      <w:pPr>
        <w:pStyle w:val="Heading2"/>
        <w:rPr>
          <w:rFonts w:eastAsia="Arial"/>
        </w:rPr>
      </w:pPr>
      <w:r>
        <w:rPr>
          <w:rFonts w:eastAsia="Arial"/>
        </w:rPr>
        <w:t>Key Takeaways</w:t>
      </w:r>
    </w:p>
    <w:p w14:paraId="1501BCB9" w14:textId="77777777" w:rsidR="00B63BE6" w:rsidRDefault="00B63BE6" w:rsidP="00B63BE6">
      <w:pPr>
        <w:pStyle w:val="ListParagraph"/>
        <w:numPr>
          <w:ilvl w:val="0"/>
          <w:numId w:val="68"/>
        </w:numPr>
        <w:spacing w:after="80"/>
        <w:contextualSpacing w:val="0"/>
        <w:rPr>
          <w:rFonts w:eastAsia="Arial"/>
        </w:rPr>
      </w:pPr>
      <w:r>
        <w:t>IRDs are caused by mutations in any of approximately 470 different genes — there is no one-size-fits-all approach to treatment or management</w:t>
      </w:r>
    </w:p>
    <w:p w14:paraId="7EB1C139" w14:textId="77777777" w:rsidR="00B63BE6" w:rsidRDefault="00B63BE6" w:rsidP="00B63BE6">
      <w:pPr>
        <w:pStyle w:val="ListParagraph"/>
        <w:numPr>
          <w:ilvl w:val="0"/>
          <w:numId w:val="68"/>
        </w:numPr>
        <w:spacing w:after="80"/>
        <w:contextualSpacing w:val="0"/>
      </w:pPr>
      <w:r>
        <w:t>Genetic testing is now covered provincially across Canada and is the standard of care for IRDs — it opens doors to clinical trials, empowers patients, and supports family planning</w:t>
      </w:r>
    </w:p>
    <w:p w14:paraId="044E9482" w14:textId="77777777" w:rsidR="00B63BE6" w:rsidRDefault="00B63BE6" w:rsidP="00B63BE6">
      <w:pPr>
        <w:pStyle w:val="ListParagraph"/>
        <w:numPr>
          <w:ilvl w:val="0"/>
          <w:numId w:val="68"/>
        </w:numPr>
        <w:spacing w:after="80"/>
        <w:contextualSpacing w:val="0"/>
      </w:pPr>
      <w:r>
        <w:t>Research is advancing on multiple fronts: gene therapy, neuroprotection, cell replacement, optogenetics, and retinal prosthetics</w:t>
      </w:r>
    </w:p>
    <w:p w14:paraId="55A3E8D0" w14:textId="77777777" w:rsidR="00B63BE6" w:rsidRDefault="00B63BE6" w:rsidP="00B63BE6">
      <w:pPr>
        <w:pStyle w:val="ListParagraph"/>
        <w:numPr>
          <w:ilvl w:val="0"/>
          <w:numId w:val="68"/>
        </w:numPr>
        <w:spacing w:after="80"/>
        <w:contextualSpacing w:val="0"/>
      </w:pPr>
      <w:r>
        <w:t>Luxturna, a gene therapy for LCA caused by RPE65 mutations, is already approved in Canada — more treatments are in the pipeline</w:t>
      </w:r>
    </w:p>
    <w:p w14:paraId="0C274623" w14:textId="77777777" w:rsidR="00B63BE6" w:rsidRDefault="00B63BE6" w:rsidP="00B63BE6">
      <w:pPr>
        <w:pStyle w:val="ListParagraph"/>
        <w:numPr>
          <w:ilvl w:val="0"/>
          <w:numId w:val="68"/>
        </w:numPr>
        <w:spacing w:after="80"/>
        <w:contextualSpacing w:val="0"/>
      </w:pPr>
      <w:r>
        <w:t>Some supplements can be harmful for certain IRD conditions — always discuss what you are taking with your ophthalmologist</w:t>
      </w:r>
    </w:p>
    <w:p w14:paraId="59BA66A2" w14:textId="77777777" w:rsidR="00B63BE6" w:rsidRDefault="00B63BE6" w:rsidP="00B63BE6">
      <w:pPr>
        <w:pStyle w:val="ListParagraph"/>
        <w:numPr>
          <w:ilvl w:val="0"/>
          <w:numId w:val="68"/>
        </w:numPr>
        <w:spacing w:after="80"/>
        <w:contextualSpacing w:val="0"/>
      </w:pPr>
      <w:r>
        <w:t>You are not alone — community, information, and connection make a real difference</w:t>
      </w:r>
    </w:p>
    <w:p w14:paraId="5F003E59" w14:textId="77777777" w:rsidR="00B63BE6" w:rsidRDefault="00B63BE6" w:rsidP="00B63BE6">
      <w:pPr>
        <w:spacing w:after="80"/>
      </w:pPr>
    </w:p>
    <w:p w14:paraId="2764D2F2" w14:textId="77777777" w:rsidR="00B63BE6" w:rsidRDefault="00B63BE6" w:rsidP="00B63BE6">
      <w:pPr>
        <w:pStyle w:val="Heading2"/>
        <w:rPr>
          <w:rFonts w:eastAsia="Arial"/>
        </w:rPr>
      </w:pPr>
      <w:r>
        <w:rPr>
          <w:rFonts w:eastAsia="Arial"/>
        </w:rPr>
        <w:t>What You Can Do Now</w:t>
      </w:r>
    </w:p>
    <w:p w14:paraId="61FD55FE" w14:textId="77777777" w:rsidR="00B63BE6" w:rsidRDefault="00B63BE6" w:rsidP="00B63BE6">
      <w:pPr>
        <w:pStyle w:val="ListParagraph"/>
        <w:numPr>
          <w:ilvl w:val="0"/>
          <w:numId w:val="68"/>
        </w:numPr>
        <w:spacing w:after="80"/>
        <w:contextualSpacing w:val="0"/>
        <w:rPr>
          <w:rFonts w:eastAsia="Arial"/>
        </w:rPr>
      </w:pPr>
      <w:r>
        <w:t>Stay connected with your eye care team and attend regular appointments</w:t>
      </w:r>
    </w:p>
    <w:p w14:paraId="4ED8E76F" w14:textId="77777777" w:rsidR="00B63BE6" w:rsidRDefault="00B63BE6" w:rsidP="00B63BE6">
      <w:pPr>
        <w:pStyle w:val="ListParagraph"/>
        <w:numPr>
          <w:ilvl w:val="0"/>
          <w:numId w:val="68"/>
        </w:numPr>
        <w:spacing w:after="80"/>
        <w:contextualSpacing w:val="0"/>
      </w:pPr>
      <w:r>
        <w:t>Ask your ophthalmologist about genetic testing if you haven’t already had it</w:t>
      </w:r>
    </w:p>
    <w:p w14:paraId="72337852" w14:textId="77777777" w:rsidR="00B63BE6" w:rsidRDefault="00B63BE6" w:rsidP="00B63BE6">
      <w:pPr>
        <w:pStyle w:val="ListParagraph"/>
        <w:numPr>
          <w:ilvl w:val="0"/>
          <w:numId w:val="68"/>
        </w:numPr>
        <w:spacing w:after="80"/>
        <w:contextualSpacing w:val="0"/>
      </w:pPr>
      <w:r>
        <w:lastRenderedPageBreak/>
        <w:t>Enrol in the national IRD patient registry to stay informed about relevant clinical trials</w:t>
      </w:r>
    </w:p>
    <w:p w14:paraId="3B9BCA51" w14:textId="77777777" w:rsidR="00B63BE6" w:rsidRDefault="00B63BE6" w:rsidP="00B63BE6">
      <w:pPr>
        <w:pStyle w:val="ListParagraph"/>
        <w:numPr>
          <w:ilvl w:val="0"/>
          <w:numId w:val="68"/>
        </w:numPr>
        <w:spacing w:after="80"/>
        <w:contextualSpacing w:val="0"/>
      </w:pPr>
      <w:r>
        <w:t>Tell your doctor about any supplements or vitamins you are taking</w:t>
      </w:r>
    </w:p>
    <w:p w14:paraId="62AD47E3" w14:textId="77777777" w:rsidR="00B63BE6" w:rsidRDefault="00B63BE6" w:rsidP="00B63BE6">
      <w:pPr>
        <w:pStyle w:val="ListParagraph"/>
        <w:numPr>
          <w:ilvl w:val="0"/>
          <w:numId w:val="68"/>
        </w:numPr>
        <w:spacing w:after="80"/>
        <w:contextualSpacing w:val="0"/>
      </w:pPr>
      <w:r>
        <w:t>Ask about clinical trials that may be relevant for your specific genetic mutation</w:t>
      </w:r>
    </w:p>
    <w:p w14:paraId="2CABADBA" w14:textId="77777777" w:rsidR="00B63BE6" w:rsidRDefault="00B63BE6" w:rsidP="00B63BE6">
      <w:pPr>
        <w:pStyle w:val="ListParagraph"/>
        <w:numPr>
          <w:ilvl w:val="0"/>
          <w:numId w:val="68"/>
        </w:numPr>
        <w:spacing w:after="80"/>
        <w:contextualSpacing w:val="0"/>
      </w:pPr>
      <w:r>
        <w:t>Reach out to Fighting Blindness Canada at healthinfo@fightingblindness.ca for information, resources, and support</w:t>
      </w:r>
    </w:p>
    <w:p w14:paraId="7F95F76E" w14:textId="5274F33F" w:rsidR="4875D3CD" w:rsidRDefault="4875D3CD" w:rsidP="4875D3CD">
      <w:pPr>
        <w:rPr>
          <w:rFonts w:ascii="Aptos" w:eastAsia="Aptos" w:hAnsi="Aptos" w:cs="Aptos"/>
          <w:color w:val="auto"/>
        </w:rPr>
      </w:pPr>
    </w:p>
    <w:sectPr w:rsidR="4875D3CD" w:rsidSect="008E6DC2">
      <w:headerReference w:type="default" r:id="rId12"/>
      <w:footerReference w:type="default" r:id="rId13"/>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FB26B" w14:textId="77777777" w:rsidR="00DD2832" w:rsidRDefault="00DD2832" w:rsidP="000B1565">
      <w:r>
        <w:separator/>
      </w:r>
    </w:p>
  </w:endnote>
  <w:endnote w:type="continuationSeparator" w:id="0">
    <w:p w14:paraId="77690889" w14:textId="77777777" w:rsidR="00DD2832" w:rsidRDefault="00DD2832"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5002EFF" w:usb1="C200ACFF"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EF078" w14:textId="77777777" w:rsidR="00DD2832" w:rsidRDefault="00DD2832" w:rsidP="000B1565">
      <w:r>
        <w:separator/>
      </w:r>
    </w:p>
  </w:footnote>
  <w:footnote w:type="continuationSeparator" w:id="0">
    <w:p w14:paraId="7420AB88" w14:textId="77777777" w:rsidR="00DD2832" w:rsidRDefault="00DD2832"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872E94BC"/>
    <w:lvl w:ilvl="0" w:tplc="563A4A06">
      <w:start w:val="1"/>
      <w:numFmt w:val="bullet"/>
      <w:lvlText w:val="·"/>
      <w:lvlJc w:val="left"/>
      <w:pPr>
        <w:ind w:left="720" w:hanging="360"/>
      </w:pPr>
      <w:rPr>
        <w:rFonts w:ascii="Symbol" w:hAnsi="Symbol" w:hint="default"/>
      </w:rPr>
    </w:lvl>
    <w:lvl w:ilvl="1" w:tplc="4A448300">
      <w:start w:val="1"/>
      <w:numFmt w:val="bullet"/>
      <w:lvlText w:val="o"/>
      <w:lvlJc w:val="left"/>
      <w:pPr>
        <w:ind w:left="1440" w:hanging="360"/>
      </w:pPr>
      <w:rPr>
        <w:rFonts w:ascii="Courier New" w:hAnsi="Courier New" w:hint="default"/>
      </w:rPr>
    </w:lvl>
    <w:lvl w:ilvl="2" w:tplc="086C70F4">
      <w:start w:val="1"/>
      <w:numFmt w:val="bullet"/>
      <w:lvlText w:val=""/>
      <w:lvlJc w:val="left"/>
      <w:pPr>
        <w:ind w:left="2160" w:hanging="360"/>
      </w:pPr>
      <w:rPr>
        <w:rFonts w:ascii="Wingdings" w:hAnsi="Wingdings" w:hint="default"/>
      </w:rPr>
    </w:lvl>
    <w:lvl w:ilvl="3" w:tplc="A32C38EC">
      <w:start w:val="1"/>
      <w:numFmt w:val="bullet"/>
      <w:lvlText w:val=""/>
      <w:lvlJc w:val="left"/>
      <w:pPr>
        <w:ind w:left="2880" w:hanging="360"/>
      </w:pPr>
      <w:rPr>
        <w:rFonts w:ascii="Symbol" w:hAnsi="Symbol" w:hint="default"/>
      </w:rPr>
    </w:lvl>
    <w:lvl w:ilvl="4" w:tplc="22687500">
      <w:start w:val="1"/>
      <w:numFmt w:val="bullet"/>
      <w:lvlText w:val="o"/>
      <w:lvlJc w:val="left"/>
      <w:pPr>
        <w:ind w:left="3600" w:hanging="360"/>
      </w:pPr>
      <w:rPr>
        <w:rFonts w:ascii="Courier New" w:hAnsi="Courier New" w:hint="default"/>
      </w:rPr>
    </w:lvl>
    <w:lvl w:ilvl="5" w:tplc="DDE64056">
      <w:start w:val="1"/>
      <w:numFmt w:val="bullet"/>
      <w:lvlText w:val=""/>
      <w:lvlJc w:val="left"/>
      <w:pPr>
        <w:ind w:left="4320" w:hanging="360"/>
      </w:pPr>
      <w:rPr>
        <w:rFonts w:ascii="Wingdings" w:hAnsi="Wingdings" w:hint="default"/>
      </w:rPr>
    </w:lvl>
    <w:lvl w:ilvl="6" w:tplc="B2888444">
      <w:start w:val="1"/>
      <w:numFmt w:val="bullet"/>
      <w:lvlText w:val=""/>
      <w:lvlJc w:val="left"/>
      <w:pPr>
        <w:ind w:left="5040" w:hanging="360"/>
      </w:pPr>
      <w:rPr>
        <w:rFonts w:ascii="Symbol" w:hAnsi="Symbol" w:hint="default"/>
      </w:rPr>
    </w:lvl>
    <w:lvl w:ilvl="7" w:tplc="B2E8211E">
      <w:start w:val="1"/>
      <w:numFmt w:val="bullet"/>
      <w:lvlText w:val="o"/>
      <w:lvlJc w:val="left"/>
      <w:pPr>
        <w:ind w:left="5760" w:hanging="360"/>
      </w:pPr>
      <w:rPr>
        <w:rFonts w:ascii="Courier New" w:hAnsi="Courier New" w:hint="default"/>
      </w:rPr>
    </w:lvl>
    <w:lvl w:ilvl="8" w:tplc="D8F234CC">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E506C1"/>
    <w:multiLevelType w:val="hybridMultilevel"/>
    <w:tmpl w:val="769A5200"/>
    <w:lvl w:ilvl="0" w:tplc="4D3A4298">
      <w:start w:val="1"/>
      <w:numFmt w:val="bullet"/>
      <w:lvlText w:val="•"/>
      <w:lvlJc w:val="left"/>
      <w:pPr>
        <w:ind w:left="720" w:hanging="360"/>
      </w:pPr>
    </w:lvl>
    <w:lvl w:ilvl="1" w:tplc="43E29582">
      <w:numFmt w:val="decimal"/>
      <w:lvlText w:val=""/>
      <w:lvlJc w:val="left"/>
    </w:lvl>
    <w:lvl w:ilvl="2" w:tplc="34AE5E14">
      <w:numFmt w:val="decimal"/>
      <w:lvlText w:val=""/>
      <w:lvlJc w:val="left"/>
    </w:lvl>
    <w:lvl w:ilvl="3" w:tplc="AEA8FEE2">
      <w:numFmt w:val="decimal"/>
      <w:lvlText w:val=""/>
      <w:lvlJc w:val="left"/>
    </w:lvl>
    <w:lvl w:ilvl="4" w:tplc="C2C0BABC">
      <w:numFmt w:val="decimal"/>
      <w:lvlText w:val=""/>
      <w:lvlJc w:val="left"/>
    </w:lvl>
    <w:lvl w:ilvl="5" w:tplc="614C01DC">
      <w:numFmt w:val="decimal"/>
      <w:lvlText w:val=""/>
      <w:lvlJc w:val="left"/>
    </w:lvl>
    <w:lvl w:ilvl="6" w:tplc="941C77EE">
      <w:numFmt w:val="decimal"/>
      <w:lvlText w:val=""/>
      <w:lvlJc w:val="left"/>
    </w:lvl>
    <w:lvl w:ilvl="7" w:tplc="8B0EFD0C">
      <w:numFmt w:val="decimal"/>
      <w:lvlText w:val=""/>
      <w:lvlJc w:val="left"/>
    </w:lvl>
    <w:lvl w:ilvl="8" w:tplc="554A6E36">
      <w:numFmt w:val="decimal"/>
      <w:lvlText w:val=""/>
      <w:lvlJc w:val="left"/>
    </w:lvl>
  </w:abstractNum>
  <w:abstractNum w:abstractNumId="10" w15:restartNumberingAfterBreak="0">
    <w:nsid w:val="195CA8FE"/>
    <w:multiLevelType w:val="hybridMultilevel"/>
    <w:tmpl w:val="42C4D27E"/>
    <w:lvl w:ilvl="0" w:tplc="A97A2220">
      <w:start w:val="1"/>
      <w:numFmt w:val="bullet"/>
      <w:lvlText w:val=""/>
      <w:lvlJc w:val="left"/>
      <w:pPr>
        <w:ind w:left="720" w:hanging="360"/>
      </w:pPr>
      <w:rPr>
        <w:rFonts w:ascii="Symbol" w:hAnsi="Symbol" w:hint="default"/>
      </w:rPr>
    </w:lvl>
    <w:lvl w:ilvl="1" w:tplc="A5008714">
      <w:start w:val="1"/>
      <w:numFmt w:val="bullet"/>
      <w:lvlText w:val="o"/>
      <w:lvlJc w:val="left"/>
      <w:pPr>
        <w:ind w:left="1440" w:hanging="360"/>
      </w:pPr>
      <w:rPr>
        <w:rFonts w:ascii="Courier New" w:hAnsi="Courier New" w:hint="default"/>
      </w:rPr>
    </w:lvl>
    <w:lvl w:ilvl="2" w:tplc="6DEA0EF6">
      <w:start w:val="1"/>
      <w:numFmt w:val="bullet"/>
      <w:lvlText w:val=""/>
      <w:lvlJc w:val="left"/>
      <w:pPr>
        <w:ind w:left="2160" w:hanging="360"/>
      </w:pPr>
      <w:rPr>
        <w:rFonts w:ascii="Wingdings" w:hAnsi="Wingdings" w:hint="default"/>
      </w:rPr>
    </w:lvl>
    <w:lvl w:ilvl="3" w:tplc="76A87768">
      <w:start w:val="1"/>
      <w:numFmt w:val="bullet"/>
      <w:lvlText w:val=""/>
      <w:lvlJc w:val="left"/>
      <w:pPr>
        <w:ind w:left="2880" w:hanging="360"/>
      </w:pPr>
      <w:rPr>
        <w:rFonts w:ascii="Symbol" w:hAnsi="Symbol" w:hint="default"/>
      </w:rPr>
    </w:lvl>
    <w:lvl w:ilvl="4" w:tplc="6B3C7218">
      <w:start w:val="1"/>
      <w:numFmt w:val="bullet"/>
      <w:lvlText w:val="o"/>
      <w:lvlJc w:val="left"/>
      <w:pPr>
        <w:ind w:left="3600" w:hanging="360"/>
      </w:pPr>
      <w:rPr>
        <w:rFonts w:ascii="Courier New" w:hAnsi="Courier New" w:hint="default"/>
      </w:rPr>
    </w:lvl>
    <w:lvl w:ilvl="5" w:tplc="63E6CC3A">
      <w:start w:val="1"/>
      <w:numFmt w:val="bullet"/>
      <w:lvlText w:val=""/>
      <w:lvlJc w:val="left"/>
      <w:pPr>
        <w:ind w:left="4320" w:hanging="360"/>
      </w:pPr>
      <w:rPr>
        <w:rFonts w:ascii="Wingdings" w:hAnsi="Wingdings" w:hint="default"/>
      </w:rPr>
    </w:lvl>
    <w:lvl w:ilvl="6" w:tplc="4330022A">
      <w:start w:val="1"/>
      <w:numFmt w:val="bullet"/>
      <w:lvlText w:val=""/>
      <w:lvlJc w:val="left"/>
      <w:pPr>
        <w:ind w:left="5040" w:hanging="360"/>
      </w:pPr>
      <w:rPr>
        <w:rFonts w:ascii="Symbol" w:hAnsi="Symbol" w:hint="default"/>
      </w:rPr>
    </w:lvl>
    <w:lvl w:ilvl="7" w:tplc="514C2F48">
      <w:start w:val="1"/>
      <w:numFmt w:val="bullet"/>
      <w:lvlText w:val="o"/>
      <w:lvlJc w:val="left"/>
      <w:pPr>
        <w:ind w:left="5760" w:hanging="360"/>
      </w:pPr>
      <w:rPr>
        <w:rFonts w:ascii="Courier New" w:hAnsi="Courier New" w:hint="default"/>
      </w:rPr>
    </w:lvl>
    <w:lvl w:ilvl="8" w:tplc="54E06EFE">
      <w:start w:val="1"/>
      <w:numFmt w:val="bullet"/>
      <w:lvlText w:val=""/>
      <w:lvlJc w:val="left"/>
      <w:pPr>
        <w:ind w:left="6480" w:hanging="360"/>
      </w:pPr>
      <w:rPr>
        <w:rFonts w:ascii="Wingdings" w:hAnsi="Wingdings" w:hint="default"/>
      </w:rPr>
    </w:lvl>
  </w:abstractNum>
  <w:abstractNum w:abstractNumId="11"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BF85707"/>
    <w:multiLevelType w:val="hybridMultilevel"/>
    <w:tmpl w:val="B352F076"/>
    <w:lvl w:ilvl="0" w:tplc="6346EBDC">
      <w:start w:val="1"/>
      <w:numFmt w:val="bullet"/>
      <w:lvlText w:val="·"/>
      <w:lvlJc w:val="left"/>
      <w:pPr>
        <w:ind w:left="720" w:hanging="360"/>
      </w:pPr>
      <w:rPr>
        <w:rFonts w:ascii="Symbol" w:hAnsi="Symbol" w:hint="default"/>
      </w:rPr>
    </w:lvl>
    <w:lvl w:ilvl="1" w:tplc="D928601E">
      <w:start w:val="1"/>
      <w:numFmt w:val="bullet"/>
      <w:lvlText w:val="o"/>
      <w:lvlJc w:val="left"/>
      <w:pPr>
        <w:ind w:left="1440" w:hanging="360"/>
      </w:pPr>
      <w:rPr>
        <w:rFonts w:ascii="Courier New" w:hAnsi="Courier New" w:hint="default"/>
      </w:rPr>
    </w:lvl>
    <w:lvl w:ilvl="2" w:tplc="B8F07B28">
      <w:start w:val="1"/>
      <w:numFmt w:val="bullet"/>
      <w:lvlText w:val=""/>
      <w:lvlJc w:val="left"/>
      <w:pPr>
        <w:ind w:left="2160" w:hanging="360"/>
      </w:pPr>
      <w:rPr>
        <w:rFonts w:ascii="Wingdings" w:hAnsi="Wingdings" w:hint="default"/>
      </w:rPr>
    </w:lvl>
    <w:lvl w:ilvl="3" w:tplc="4DB8FC3E">
      <w:start w:val="1"/>
      <w:numFmt w:val="bullet"/>
      <w:lvlText w:val=""/>
      <w:lvlJc w:val="left"/>
      <w:pPr>
        <w:ind w:left="2880" w:hanging="360"/>
      </w:pPr>
      <w:rPr>
        <w:rFonts w:ascii="Symbol" w:hAnsi="Symbol" w:hint="default"/>
      </w:rPr>
    </w:lvl>
    <w:lvl w:ilvl="4" w:tplc="93B65BCE">
      <w:start w:val="1"/>
      <w:numFmt w:val="bullet"/>
      <w:lvlText w:val="o"/>
      <w:lvlJc w:val="left"/>
      <w:pPr>
        <w:ind w:left="3600" w:hanging="360"/>
      </w:pPr>
      <w:rPr>
        <w:rFonts w:ascii="Courier New" w:hAnsi="Courier New" w:hint="default"/>
      </w:rPr>
    </w:lvl>
    <w:lvl w:ilvl="5" w:tplc="812E3376">
      <w:start w:val="1"/>
      <w:numFmt w:val="bullet"/>
      <w:lvlText w:val=""/>
      <w:lvlJc w:val="left"/>
      <w:pPr>
        <w:ind w:left="4320" w:hanging="360"/>
      </w:pPr>
      <w:rPr>
        <w:rFonts w:ascii="Wingdings" w:hAnsi="Wingdings" w:hint="default"/>
      </w:rPr>
    </w:lvl>
    <w:lvl w:ilvl="6" w:tplc="C3900E34">
      <w:start w:val="1"/>
      <w:numFmt w:val="bullet"/>
      <w:lvlText w:val=""/>
      <w:lvlJc w:val="left"/>
      <w:pPr>
        <w:ind w:left="5040" w:hanging="360"/>
      </w:pPr>
      <w:rPr>
        <w:rFonts w:ascii="Symbol" w:hAnsi="Symbol" w:hint="default"/>
      </w:rPr>
    </w:lvl>
    <w:lvl w:ilvl="7" w:tplc="4B3EE258">
      <w:start w:val="1"/>
      <w:numFmt w:val="bullet"/>
      <w:lvlText w:val="o"/>
      <w:lvlJc w:val="left"/>
      <w:pPr>
        <w:ind w:left="5760" w:hanging="360"/>
      </w:pPr>
      <w:rPr>
        <w:rFonts w:ascii="Courier New" w:hAnsi="Courier New" w:hint="default"/>
      </w:rPr>
    </w:lvl>
    <w:lvl w:ilvl="8" w:tplc="F32677DA">
      <w:start w:val="1"/>
      <w:numFmt w:val="bullet"/>
      <w:lvlText w:val=""/>
      <w:lvlJc w:val="left"/>
      <w:pPr>
        <w:ind w:left="6480" w:hanging="360"/>
      </w:pPr>
      <w:rPr>
        <w:rFonts w:ascii="Wingdings" w:hAnsi="Wingdings" w:hint="default"/>
      </w:rPr>
    </w:lvl>
  </w:abstractNum>
  <w:abstractNum w:abstractNumId="14"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21E26CCE"/>
    <w:multiLevelType w:val="hybridMultilevel"/>
    <w:tmpl w:val="99C0D3E0"/>
    <w:lvl w:ilvl="0" w:tplc="B9E88D86">
      <w:start w:val="1"/>
      <w:numFmt w:val="bullet"/>
      <w:lvlText w:val=""/>
      <w:lvlJc w:val="left"/>
      <w:pPr>
        <w:ind w:left="720" w:hanging="360"/>
      </w:pPr>
      <w:rPr>
        <w:rFonts w:ascii="Symbol" w:hAnsi="Symbol" w:hint="default"/>
      </w:rPr>
    </w:lvl>
    <w:lvl w:ilvl="1" w:tplc="BE1A8F6C">
      <w:start w:val="1"/>
      <w:numFmt w:val="bullet"/>
      <w:lvlText w:val="o"/>
      <w:lvlJc w:val="left"/>
      <w:pPr>
        <w:ind w:left="1440" w:hanging="360"/>
      </w:pPr>
      <w:rPr>
        <w:rFonts w:ascii="Courier New" w:hAnsi="Courier New" w:hint="default"/>
      </w:rPr>
    </w:lvl>
    <w:lvl w:ilvl="2" w:tplc="ABA6A5D4">
      <w:start w:val="1"/>
      <w:numFmt w:val="bullet"/>
      <w:lvlText w:val=""/>
      <w:lvlJc w:val="left"/>
      <w:pPr>
        <w:ind w:left="2160" w:hanging="360"/>
      </w:pPr>
      <w:rPr>
        <w:rFonts w:ascii="Wingdings" w:hAnsi="Wingdings" w:hint="default"/>
      </w:rPr>
    </w:lvl>
    <w:lvl w:ilvl="3" w:tplc="515CC3CC">
      <w:start w:val="1"/>
      <w:numFmt w:val="bullet"/>
      <w:lvlText w:val=""/>
      <w:lvlJc w:val="left"/>
      <w:pPr>
        <w:ind w:left="2880" w:hanging="360"/>
      </w:pPr>
      <w:rPr>
        <w:rFonts w:ascii="Symbol" w:hAnsi="Symbol" w:hint="default"/>
      </w:rPr>
    </w:lvl>
    <w:lvl w:ilvl="4" w:tplc="1076E2BA">
      <w:start w:val="1"/>
      <w:numFmt w:val="bullet"/>
      <w:lvlText w:val="o"/>
      <w:lvlJc w:val="left"/>
      <w:pPr>
        <w:ind w:left="3600" w:hanging="360"/>
      </w:pPr>
      <w:rPr>
        <w:rFonts w:ascii="Courier New" w:hAnsi="Courier New" w:hint="default"/>
      </w:rPr>
    </w:lvl>
    <w:lvl w:ilvl="5" w:tplc="93D0F532">
      <w:start w:val="1"/>
      <w:numFmt w:val="bullet"/>
      <w:lvlText w:val=""/>
      <w:lvlJc w:val="left"/>
      <w:pPr>
        <w:ind w:left="4320" w:hanging="360"/>
      </w:pPr>
      <w:rPr>
        <w:rFonts w:ascii="Wingdings" w:hAnsi="Wingdings" w:hint="default"/>
      </w:rPr>
    </w:lvl>
    <w:lvl w:ilvl="6" w:tplc="19423DAA">
      <w:start w:val="1"/>
      <w:numFmt w:val="bullet"/>
      <w:lvlText w:val=""/>
      <w:lvlJc w:val="left"/>
      <w:pPr>
        <w:ind w:left="5040" w:hanging="360"/>
      </w:pPr>
      <w:rPr>
        <w:rFonts w:ascii="Symbol" w:hAnsi="Symbol" w:hint="default"/>
      </w:rPr>
    </w:lvl>
    <w:lvl w:ilvl="7" w:tplc="1D9E76B0">
      <w:start w:val="1"/>
      <w:numFmt w:val="bullet"/>
      <w:lvlText w:val="o"/>
      <w:lvlJc w:val="left"/>
      <w:pPr>
        <w:ind w:left="5760" w:hanging="360"/>
      </w:pPr>
      <w:rPr>
        <w:rFonts w:ascii="Courier New" w:hAnsi="Courier New" w:hint="default"/>
      </w:rPr>
    </w:lvl>
    <w:lvl w:ilvl="8" w:tplc="C2944920">
      <w:start w:val="1"/>
      <w:numFmt w:val="bullet"/>
      <w:lvlText w:val=""/>
      <w:lvlJc w:val="left"/>
      <w:pPr>
        <w:ind w:left="6480" w:hanging="360"/>
      </w:pPr>
      <w:rPr>
        <w:rFonts w:ascii="Wingdings" w:hAnsi="Wingdings" w:hint="default"/>
      </w:rPr>
    </w:lvl>
  </w:abstractNum>
  <w:abstractNum w:abstractNumId="20"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3959023"/>
    <w:multiLevelType w:val="hybridMultilevel"/>
    <w:tmpl w:val="42E6017C"/>
    <w:lvl w:ilvl="0" w:tplc="431C0356">
      <w:start w:val="1"/>
      <w:numFmt w:val="bullet"/>
      <w:lvlText w:val="·"/>
      <w:lvlJc w:val="left"/>
      <w:pPr>
        <w:ind w:left="720" w:hanging="360"/>
      </w:pPr>
      <w:rPr>
        <w:rFonts w:ascii="Symbol" w:hAnsi="Symbol" w:hint="default"/>
      </w:rPr>
    </w:lvl>
    <w:lvl w:ilvl="1" w:tplc="3D88EFAC">
      <w:start w:val="1"/>
      <w:numFmt w:val="bullet"/>
      <w:lvlText w:val="o"/>
      <w:lvlJc w:val="left"/>
      <w:pPr>
        <w:ind w:left="1440" w:hanging="360"/>
      </w:pPr>
      <w:rPr>
        <w:rFonts w:ascii="Courier New" w:hAnsi="Courier New" w:hint="default"/>
      </w:rPr>
    </w:lvl>
    <w:lvl w:ilvl="2" w:tplc="4CF4AE66">
      <w:start w:val="1"/>
      <w:numFmt w:val="bullet"/>
      <w:lvlText w:val=""/>
      <w:lvlJc w:val="left"/>
      <w:pPr>
        <w:ind w:left="2160" w:hanging="360"/>
      </w:pPr>
      <w:rPr>
        <w:rFonts w:ascii="Wingdings" w:hAnsi="Wingdings" w:hint="default"/>
      </w:rPr>
    </w:lvl>
    <w:lvl w:ilvl="3" w:tplc="190410E2">
      <w:start w:val="1"/>
      <w:numFmt w:val="bullet"/>
      <w:lvlText w:val=""/>
      <w:lvlJc w:val="left"/>
      <w:pPr>
        <w:ind w:left="2880" w:hanging="360"/>
      </w:pPr>
      <w:rPr>
        <w:rFonts w:ascii="Symbol" w:hAnsi="Symbol" w:hint="default"/>
      </w:rPr>
    </w:lvl>
    <w:lvl w:ilvl="4" w:tplc="FCA26A0E">
      <w:start w:val="1"/>
      <w:numFmt w:val="bullet"/>
      <w:lvlText w:val="o"/>
      <w:lvlJc w:val="left"/>
      <w:pPr>
        <w:ind w:left="3600" w:hanging="360"/>
      </w:pPr>
      <w:rPr>
        <w:rFonts w:ascii="Courier New" w:hAnsi="Courier New" w:hint="default"/>
      </w:rPr>
    </w:lvl>
    <w:lvl w:ilvl="5" w:tplc="39FC03CA">
      <w:start w:val="1"/>
      <w:numFmt w:val="bullet"/>
      <w:lvlText w:val=""/>
      <w:lvlJc w:val="left"/>
      <w:pPr>
        <w:ind w:left="4320" w:hanging="360"/>
      </w:pPr>
      <w:rPr>
        <w:rFonts w:ascii="Wingdings" w:hAnsi="Wingdings" w:hint="default"/>
      </w:rPr>
    </w:lvl>
    <w:lvl w:ilvl="6" w:tplc="DB143434">
      <w:start w:val="1"/>
      <w:numFmt w:val="bullet"/>
      <w:lvlText w:val=""/>
      <w:lvlJc w:val="left"/>
      <w:pPr>
        <w:ind w:left="5040" w:hanging="360"/>
      </w:pPr>
      <w:rPr>
        <w:rFonts w:ascii="Symbol" w:hAnsi="Symbol" w:hint="default"/>
      </w:rPr>
    </w:lvl>
    <w:lvl w:ilvl="7" w:tplc="16BE006E">
      <w:start w:val="1"/>
      <w:numFmt w:val="bullet"/>
      <w:lvlText w:val="o"/>
      <w:lvlJc w:val="left"/>
      <w:pPr>
        <w:ind w:left="5760" w:hanging="360"/>
      </w:pPr>
      <w:rPr>
        <w:rFonts w:ascii="Courier New" w:hAnsi="Courier New" w:hint="default"/>
      </w:rPr>
    </w:lvl>
    <w:lvl w:ilvl="8" w:tplc="CCF68372">
      <w:start w:val="1"/>
      <w:numFmt w:val="bullet"/>
      <w:lvlText w:val=""/>
      <w:lvlJc w:val="left"/>
      <w:pPr>
        <w:ind w:left="6480" w:hanging="360"/>
      </w:pPr>
      <w:rPr>
        <w:rFonts w:ascii="Wingdings" w:hAnsi="Wingdings" w:hint="default"/>
      </w:rPr>
    </w:lvl>
  </w:abstractNum>
  <w:abstractNum w:abstractNumId="22"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8"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2"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9"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1"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5B009EE"/>
    <w:multiLevelType w:val="hybridMultilevel"/>
    <w:tmpl w:val="421CA8AC"/>
    <w:lvl w:ilvl="0" w:tplc="3926E896">
      <w:start w:val="1"/>
      <w:numFmt w:val="bullet"/>
      <w:lvlText w:val="•"/>
      <w:lvlJc w:val="left"/>
      <w:pPr>
        <w:ind w:left="720" w:hanging="360"/>
      </w:pPr>
    </w:lvl>
    <w:lvl w:ilvl="1" w:tplc="6EA63208">
      <w:numFmt w:val="decimal"/>
      <w:lvlText w:val=""/>
      <w:lvlJc w:val="left"/>
      <w:pPr>
        <w:ind w:left="0" w:firstLine="0"/>
      </w:pPr>
    </w:lvl>
    <w:lvl w:ilvl="2" w:tplc="E966860A">
      <w:numFmt w:val="decimal"/>
      <w:lvlText w:val=""/>
      <w:lvlJc w:val="left"/>
      <w:pPr>
        <w:ind w:left="0" w:firstLine="0"/>
      </w:pPr>
    </w:lvl>
    <w:lvl w:ilvl="3" w:tplc="AEE2CADE">
      <w:numFmt w:val="decimal"/>
      <w:lvlText w:val=""/>
      <w:lvlJc w:val="left"/>
      <w:pPr>
        <w:ind w:left="0" w:firstLine="0"/>
      </w:pPr>
    </w:lvl>
    <w:lvl w:ilvl="4" w:tplc="58FC538E">
      <w:numFmt w:val="decimal"/>
      <w:lvlText w:val=""/>
      <w:lvlJc w:val="left"/>
      <w:pPr>
        <w:ind w:left="0" w:firstLine="0"/>
      </w:pPr>
    </w:lvl>
    <w:lvl w:ilvl="5" w:tplc="D53CDF7E">
      <w:numFmt w:val="decimal"/>
      <w:lvlText w:val=""/>
      <w:lvlJc w:val="left"/>
      <w:pPr>
        <w:ind w:left="0" w:firstLine="0"/>
      </w:pPr>
    </w:lvl>
    <w:lvl w:ilvl="6" w:tplc="826E2DA8">
      <w:numFmt w:val="decimal"/>
      <w:lvlText w:val=""/>
      <w:lvlJc w:val="left"/>
      <w:pPr>
        <w:ind w:left="0" w:firstLine="0"/>
      </w:pPr>
    </w:lvl>
    <w:lvl w:ilvl="7" w:tplc="E7D4401E">
      <w:numFmt w:val="decimal"/>
      <w:lvlText w:val=""/>
      <w:lvlJc w:val="left"/>
      <w:pPr>
        <w:ind w:left="0" w:firstLine="0"/>
      </w:pPr>
    </w:lvl>
    <w:lvl w:ilvl="8" w:tplc="2C589418">
      <w:numFmt w:val="decimal"/>
      <w:lvlText w:val=""/>
      <w:lvlJc w:val="left"/>
      <w:pPr>
        <w:ind w:left="0" w:firstLine="0"/>
      </w:pPr>
    </w:lvl>
  </w:abstractNum>
  <w:abstractNum w:abstractNumId="53"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5"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5B6ABAD"/>
    <w:multiLevelType w:val="hybridMultilevel"/>
    <w:tmpl w:val="F030F366"/>
    <w:lvl w:ilvl="0" w:tplc="10FA8A80">
      <w:start w:val="1"/>
      <w:numFmt w:val="bullet"/>
      <w:lvlText w:val=""/>
      <w:lvlJc w:val="left"/>
      <w:pPr>
        <w:ind w:left="720" w:hanging="360"/>
      </w:pPr>
      <w:rPr>
        <w:rFonts w:ascii="Symbol" w:hAnsi="Symbol" w:hint="default"/>
      </w:rPr>
    </w:lvl>
    <w:lvl w:ilvl="1" w:tplc="F5DE0822">
      <w:start w:val="1"/>
      <w:numFmt w:val="bullet"/>
      <w:lvlText w:val="o"/>
      <w:lvlJc w:val="left"/>
      <w:pPr>
        <w:ind w:left="1440" w:hanging="360"/>
      </w:pPr>
      <w:rPr>
        <w:rFonts w:ascii="Courier New" w:hAnsi="Courier New" w:hint="default"/>
      </w:rPr>
    </w:lvl>
    <w:lvl w:ilvl="2" w:tplc="7FAEAA24">
      <w:start w:val="1"/>
      <w:numFmt w:val="bullet"/>
      <w:lvlText w:val=""/>
      <w:lvlJc w:val="left"/>
      <w:pPr>
        <w:ind w:left="2160" w:hanging="360"/>
      </w:pPr>
      <w:rPr>
        <w:rFonts w:ascii="Wingdings" w:hAnsi="Wingdings" w:hint="default"/>
      </w:rPr>
    </w:lvl>
    <w:lvl w:ilvl="3" w:tplc="BA9A4454">
      <w:start w:val="1"/>
      <w:numFmt w:val="bullet"/>
      <w:lvlText w:val=""/>
      <w:lvlJc w:val="left"/>
      <w:pPr>
        <w:ind w:left="2880" w:hanging="360"/>
      </w:pPr>
      <w:rPr>
        <w:rFonts w:ascii="Symbol" w:hAnsi="Symbol" w:hint="default"/>
      </w:rPr>
    </w:lvl>
    <w:lvl w:ilvl="4" w:tplc="98C89574">
      <w:start w:val="1"/>
      <w:numFmt w:val="bullet"/>
      <w:lvlText w:val="o"/>
      <w:lvlJc w:val="left"/>
      <w:pPr>
        <w:ind w:left="3600" w:hanging="360"/>
      </w:pPr>
      <w:rPr>
        <w:rFonts w:ascii="Courier New" w:hAnsi="Courier New" w:hint="default"/>
      </w:rPr>
    </w:lvl>
    <w:lvl w:ilvl="5" w:tplc="1DA6E8AC">
      <w:start w:val="1"/>
      <w:numFmt w:val="bullet"/>
      <w:lvlText w:val=""/>
      <w:lvlJc w:val="left"/>
      <w:pPr>
        <w:ind w:left="4320" w:hanging="360"/>
      </w:pPr>
      <w:rPr>
        <w:rFonts w:ascii="Wingdings" w:hAnsi="Wingdings" w:hint="default"/>
      </w:rPr>
    </w:lvl>
    <w:lvl w:ilvl="6" w:tplc="B5923CCC">
      <w:start w:val="1"/>
      <w:numFmt w:val="bullet"/>
      <w:lvlText w:val=""/>
      <w:lvlJc w:val="left"/>
      <w:pPr>
        <w:ind w:left="5040" w:hanging="360"/>
      </w:pPr>
      <w:rPr>
        <w:rFonts w:ascii="Symbol" w:hAnsi="Symbol" w:hint="default"/>
      </w:rPr>
    </w:lvl>
    <w:lvl w:ilvl="7" w:tplc="CE18E508">
      <w:start w:val="1"/>
      <w:numFmt w:val="bullet"/>
      <w:lvlText w:val="o"/>
      <w:lvlJc w:val="left"/>
      <w:pPr>
        <w:ind w:left="5760" w:hanging="360"/>
      </w:pPr>
      <w:rPr>
        <w:rFonts w:ascii="Courier New" w:hAnsi="Courier New" w:hint="default"/>
      </w:rPr>
    </w:lvl>
    <w:lvl w:ilvl="8" w:tplc="F1C4A36C">
      <w:start w:val="1"/>
      <w:numFmt w:val="bullet"/>
      <w:lvlText w:val=""/>
      <w:lvlJc w:val="left"/>
      <w:pPr>
        <w:ind w:left="6480" w:hanging="360"/>
      </w:pPr>
      <w:rPr>
        <w:rFonts w:ascii="Wingdings" w:hAnsi="Wingdings" w:hint="default"/>
      </w:rPr>
    </w:lvl>
  </w:abstractNum>
  <w:abstractNum w:abstractNumId="57" w15:restartNumberingAfterBreak="0">
    <w:nsid w:val="66016B95"/>
    <w:multiLevelType w:val="hybridMultilevel"/>
    <w:tmpl w:val="C0122CC4"/>
    <w:lvl w:ilvl="0" w:tplc="E1421C9E">
      <w:start w:val="1"/>
      <w:numFmt w:val="bullet"/>
      <w:lvlText w:val="·"/>
      <w:lvlJc w:val="left"/>
      <w:pPr>
        <w:ind w:left="720" w:hanging="360"/>
      </w:pPr>
      <w:rPr>
        <w:rFonts w:ascii="Symbol" w:hAnsi="Symbol" w:hint="default"/>
      </w:rPr>
    </w:lvl>
    <w:lvl w:ilvl="1" w:tplc="32FA055E">
      <w:start w:val="1"/>
      <w:numFmt w:val="bullet"/>
      <w:lvlText w:val="o"/>
      <w:lvlJc w:val="left"/>
      <w:pPr>
        <w:ind w:left="1440" w:hanging="360"/>
      </w:pPr>
      <w:rPr>
        <w:rFonts w:ascii="Courier New" w:hAnsi="Courier New" w:hint="default"/>
      </w:rPr>
    </w:lvl>
    <w:lvl w:ilvl="2" w:tplc="5C687354">
      <w:start w:val="1"/>
      <w:numFmt w:val="bullet"/>
      <w:lvlText w:val=""/>
      <w:lvlJc w:val="left"/>
      <w:pPr>
        <w:ind w:left="2160" w:hanging="360"/>
      </w:pPr>
      <w:rPr>
        <w:rFonts w:ascii="Wingdings" w:hAnsi="Wingdings" w:hint="default"/>
      </w:rPr>
    </w:lvl>
    <w:lvl w:ilvl="3" w:tplc="E66C48FE">
      <w:start w:val="1"/>
      <w:numFmt w:val="bullet"/>
      <w:lvlText w:val=""/>
      <w:lvlJc w:val="left"/>
      <w:pPr>
        <w:ind w:left="2880" w:hanging="360"/>
      </w:pPr>
      <w:rPr>
        <w:rFonts w:ascii="Symbol" w:hAnsi="Symbol" w:hint="default"/>
      </w:rPr>
    </w:lvl>
    <w:lvl w:ilvl="4" w:tplc="BA0E489A">
      <w:start w:val="1"/>
      <w:numFmt w:val="bullet"/>
      <w:lvlText w:val="o"/>
      <w:lvlJc w:val="left"/>
      <w:pPr>
        <w:ind w:left="3600" w:hanging="360"/>
      </w:pPr>
      <w:rPr>
        <w:rFonts w:ascii="Courier New" w:hAnsi="Courier New" w:hint="default"/>
      </w:rPr>
    </w:lvl>
    <w:lvl w:ilvl="5" w:tplc="8A94F406">
      <w:start w:val="1"/>
      <w:numFmt w:val="bullet"/>
      <w:lvlText w:val=""/>
      <w:lvlJc w:val="left"/>
      <w:pPr>
        <w:ind w:left="4320" w:hanging="360"/>
      </w:pPr>
      <w:rPr>
        <w:rFonts w:ascii="Wingdings" w:hAnsi="Wingdings" w:hint="default"/>
      </w:rPr>
    </w:lvl>
    <w:lvl w:ilvl="6" w:tplc="0DBAF216">
      <w:start w:val="1"/>
      <w:numFmt w:val="bullet"/>
      <w:lvlText w:val=""/>
      <w:lvlJc w:val="left"/>
      <w:pPr>
        <w:ind w:left="5040" w:hanging="360"/>
      </w:pPr>
      <w:rPr>
        <w:rFonts w:ascii="Symbol" w:hAnsi="Symbol" w:hint="default"/>
      </w:rPr>
    </w:lvl>
    <w:lvl w:ilvl="7" w:tplc="CDE437FC">
      <w:start w:val="1"/>
      <w:numFmt w:val="bullet"/>
      <w:lvlText w:val="o"/>
      <w:lvlJc w:val="left"/>
      <w:pPr>
        <w:ind w:left="5760" w:hanging="360"/>
      </w:pPr>
      <w:rPr>
        <w:rFonts w:ascii="Courier New" w:hAnsi="Courier New" w:hint="default"/>
      </w:rPr>
    </w:lvl>
    <w:lvl w:ilvl="8" w:tplc="36D4B53A">
      <w:start w:val="1"/>
      <w:numFmt w:val="bullet"/>
      <w:lvlText w:val=""/>
      <w:lvlJc w:val="left"/>
      <w:pPr>
        <w:ind w:left="6480" w:hanging="360"/>
      </w:pPr>
      <w:rPr>
        <w:rFonts w:ascii="Wingdings" w:hAnsi="Wingdings" w:hint="default"/>
      </w:rPr>
    </w:lvl>
  </w:abstractNum>
  <w:abstractNum w:abstractNumId="58"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0"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5"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6"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52665569">
    <w:abstractNumId w:val="10"/>
  </w:num>
  <w:num w:numId="2" w16cid:durableId="1621302940">
    <w:abstractNumId w:val="19"/>
  </w:num>
  <w:num w:numId="3" w16cid:durableId="850333868">
    <w:abstractNumId w:val="56"/>
  </w:num>
  <w:num w:numId="4" w16cid:durableId="2036690445">
    <w:abstractNumId w:val="57"/>
  </w:num>
  <w:num w:numId="5" w16cid:durableId="378360493">
    <w:abstractNumId w:val="21"/>
  </w:num>
  <w:num w:numId="6" w16cid:durableId="160197208">
    <w:abstractNumId w:val="0"/>
  </w:num>
  <w:num w:numId="7" w16cid:durableId="633026091">
    <w:abstractNumId w:val="13"/>
  </w:num>
  <w:num w:numId="8" w16cid:durableId="359938888">
    <w:abstractNumId w:val="26"/>
  </w:num>
  <w:num w:numId="9" w16cid:durableId="2058046269">
    <w:abstractNumId w:val="27"/>
  </w:num>
  <w:num w:numId="10" w16cid:durableId="2062436532">
    <w:abstractNumId w:val="50"/>
  </w:num>
  <w:num w:numId="11" w16cid:durableId="189340715">
    <w:abstractNumId w:val="54"/>
  </w:num>
  <w:num w:numId="12" w16cid:durableId="433019725">
    <w:abstractNumId w:val="11"/>
  </w:num>
  <w:num w:numId="13" w16cid:durableId="1342703354">
    <w:abstractNumId w:val="47"/>
  </w:num>
  <w:num w:numId="14" w16cid:durableId="1079517115">
    <w:abstractNumId w:val="18"/>
  </w:num>
  <w:num w:numId="15" w16cid:durableId="502400854">
    <w:abstractNumId w:val="41"/>
  </w:num>
  <w:num w:numId="16" w16cid:durableId="992174072">
    <w:abstractNumId w:val="1"/>
  </w:num>
  <w:num w:numId="17" w16cid:durableId="752974009">
    <w:abstractNumId w:val="59"/>
  </w:num>
  <w:num w:numId="18" w16cid:durableId="2069724314">
    <w:abstractNumId w:val="23"/>
  </w:num>
  <w:num w:numId="19" w16cid:durableId="70139660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6"/>
  </w:num>
  <w:num w:numId="21" w16cid:durableId="425613937">
    <w:abstractNumId w:val="58"/>
  </w:num>
  <w:num w:numId="22" w16cid:durableId="1990866201">
    <w:abstractNumId w:val="64"/>
  </w:num>
  <w:num w:numId="23" w16cid:durableId="1383670213">
    <w:abstractNumId w:val="65"/>
  </w:num>
  <w:num w:numId="24" w16cid:durableId="536966053">
    <w:abstractNumId w:val="35"/>
  </w:num>
  <w:num w:numId="25" w16cid:durableId="587888265">
    <w:abstractNumId w:val="51"/>
  </w:num>
  <w:num w:numId="26" w16cid:durableId="738480671">
    <w:abstractNumId w:val="4"/>
  </w:num>
  <w:num w:numId="27" w16cid:durableId="641813605">
    <w:abstractNumId w:val="32"/>
  </w:num>
  <w:num w:numId="28" w16cid:durableId="638418867">
    <w:abstractNumId w:val="29"/>
  </w:num>
  <w:num w:numId="29" w16cid:durableId="511144219">
    <w:abstractNumId w:val="8"/>
  </w:num>
  <w:num w:numId="30" w16cid:durableId="1879774595">
    <w:abstractNumId w:val="62"/>
  </w:num>
  <w:num w:numId="31" w16cid:durableId="478883045">
    <w:abstractNumId w:val="5"/>
  </w:num>
  <w:num w:numId="32" w16cid:durableId="1391002845">
    <w:abstractNumId w:val="63"/>
  </w:num>
  <w:num w:numId="33" w16cid:durableId="63307800">
    <w:abstractNumId w:val="6"/>
  </w:num>
  <w:num w:numId="34" w16cid:durableId="1512835898">
    <w:abstractNumId w:val="31"/>
  </w:num>
  <w:num w:numId="35" w16cid:durableId="284507956">
    <w:abstractNumId w:val="36"/>
  </w:num>
  <w:num w:numId="36" w16cid:durableId="2122332413">
    <w:abstractNumId w:val="30"/>
  </w:num>
  <w:num w:numId="37" w16cid:durableId="291131759">
    <w:abstractNumId w:val="44"/>
  </w:num>
  <w:num w:numId="38" w16cid:durableId="2023705799">
    <w:abstractNumId w:val="61"/>
  </w:num>
  <w:num w:numId="39" w16cid:durableId="1364937685">
    <w:abstractNumId w:val="28"/>
  </w:num>
  <w:num w:numId="40" w16cid:durableId="917593128">
    <w:abstractNumId w:val="2"/>
  </w:num>
  <w:num w:numId="41" w16cid:durableId="1835996074">
    <w:abstractNumId w:val="14"/>
  </w:num>
  <w:num w:numId="42" w16cid:durableId="1066881715">
    <w:abstractNumId w:val="38"/>
  </w:num>
  <w:num w:numId="43" w16cid:durableId="1117486444">
    <w:abstractNumId w:val="43"/>
  </w:num>
  <w:num w:numId="44" w16cid:durableId="1319966603">
    <w:abstractNumId w:val="17"/>
  </w:num>
  <w:num w:numId="45" w16cid:durableId="916092872">
    <w:abstractNumId w:val="53"/>
  </w:num>
  <w:num w:numId="46" w16cid:durableId="19012701">
    <w:abstractNumId w:val="39"/>
  </w:num>
  <w:num w:numId="47" w16cid:durableId="176844848">
    <w:abstractNumId w:val="12"/>
  </w:num>
  <w:num w:numId="48" w16cid:durableId="1596787005">
    <w:abstractNumId w:val="42"/>
  </w:num>
  <w:num w:numId="49" w16cid:durableId="1306273099">
    <w:abstractNumId w:val="3"/>
  </w:num>
  <w:num w:numId="50" w16cid:durableId="1210653922">
    <w:abstractNumId w:val="40"/>
  </w:num>
  <w:num w:numId="51" w16cid:durableId="590819369">
    <w:abstractNumId w:val="20"/>
  </w:num>
  <w:num w:numId="52" w16cid:durableId="429468612">
    <w:abstractNumId w:val="15"/>
  </w:num>
  <w:num w:numId="53" w16cid:durableId="222104333">
    <w:abstractNumId w:val="22"/>
  </w:num>
  <w:num w:numId="54" w16cid:durableId="685132344">
    <w:abstractNumId w:val="7"/>
  </w:num>
  <w:num w:numId="55" w16cid:durableId="1791775550">
    <w:abstractNumId w:val="49"/>
  </w:num>
  <w:num w:numId="56" w16cid:durableId="1721706577">
    <w:abstractNumId w:val="34"/>
  </w:num>
  <w:num w:numId="57" w16cid:durableId="1313365766">
    <w:abstractNumId w:val="66"/>
  </w:num>
  <w:num w:numId="58" w16cid:durableId="1055859572">
    <w:abstractNumId w:val="46"/>
  </w:num>
  <w:num w:numId="59" w16cid:durableId="1194687209">
    <w:abstractNumId w:val="24"/>
  </w:num>
  <w:num w:numId="60" w16cid:durableId="226885737">
    <w:abstractNumId w:val="33"/>
  </w:num>
  <w:num w:numId="61" w16cid:durableId="1176724317">
    <w:abstractNumId w:val="45"/>
  </w:num>
  <w:num w:numId="62" w16cid:durableId="226845333">
    <w:abstractNumId w:val="48"/>
  </w:num>
  <w:num w:numId="63" w16cid:durableId="1155684386">
    <w:abstractNumId w:val="60"/>
  </w:num>
  <w:num w:numId="64" w16cid:durableId="970208203">
    <w:abstractNumId w:val="37"/>
  </w:num>
  <w:num w:numId="65" w16cid:durableId="1296519098">
    <w:abstractNumId w:val="55"/>
  </w:num>
  <w:num w:numId="66" w16cid:durableId="1859998552">
    <w:abstractNumId w:val="25"/>
  </w:num>
  <w:num w:numId="67" w16cid:durableId="1008171576">
    <w:abstractNumId w:val="9"/>
    <w:lvlOverride w:ilvl="0">
      <w:startOverride w:val="1"/>
    </w:lvlOverride>
  </w:num>
  <w:num w:numId="68" w16cid:durableId="233786486">
    <w:abstractNumId w:val="5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1B56"/>
    <w:rsid w:val="000B215E"/>
    <w:rsid w:val="001141E1"/>
    <w:rsid w:val="0012017E"/>
    <w:rsid w:val="001253DA"/>
    <w:rsid w:val="0013730F"/>
    <w:rsid w:val="00147910"/>
    <w:rsid w:val="001579AD"/>
    <w:rsid w:val="001649DA"/>
    <w:rsid w:val="00171112"/>
    <w:rsid w:val="0017287D"/>
    <w:rsid w:val="0018104B"/>
    <w:rsid w:val="0019303D"/>
    <w:rsid w:val="001A19DC"/>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83A73"/>
    <w:rsid w:val="004B7D7F"/>
    <w:rsid w:val="004D1E63"/>
    <w:rsid w:val="004D2487"/>
    <w:rsid w:val="00513689"/>
    <w:rsid w:val="00526E2B"/>
    <w:rsid w:val="00556113"/>
    <w:rsid w:val="005628FF"/>
    <w:rsid w:val="005E60E6"/>
    <w:rsid w:val="0063017D"/>
    <w:rsid w:val="00660794"/>
    <w:rsid w:val="00661C9D"/>
    <w:rsid w:val="00683FC0"/>
    <w:rsid w:val="006A189F"/>
    <w:rsid w:val="006A2CA9"/>
    <w:rsid w:val="006A5C03"/>
    <w:rsid w:val="006C35EE"/>
    <w:rsid w:val="006E0FA0"/>
    <w:rsid w:val="006E372F"/>
    <w:rsid w:val="00741192"/>
    <w:rsid w:val="0078332D"/>
    <w:rsid w:val="00792F4D"/>
    <w:rsid w:val="007E2525"/>
    <w:rsid w:val="007F3381"/>
    <w:rsid w:val="007F5B30"/>
    <w:rsid w:val="008161AE"/>
    <w:rsid w:val="00826199"/>
    <w:rsid w:val="00840C2F"/>
    <w:rsid w:val="0084118E"/>
    <w:rsid w:val="008475E1"/>
    <w:rsid w:val="0085042B"/>
    <w:rsid w:val="008558BA"/>
    <w:rsid w:val="00873DDA"/>
    <w:rsid w:val="008822EF"/>
    <w:rsid w:val="00887BD0"/>
    <w:rsid w:val="008C4F9B"/>
    <w:rsid w:val="008D1313"/>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92065"/>
    <w:rsid w:val="009A7811"/>
    <w:rsid w:val="009C400C"/>
    <w:rsid w:val="009C470C"/>
    <w:rsid w:val="009D584D"/>
    <w:rsid w:val="009E2DAB"/>
    <w:rsid w:val="00A01A44"/>
    <w:rsid w:val="00A32281"/>
    <w:rsid w:val="00A71837"/>
    <w:rsid w:val="00A77884"/>
    <w:rsid w:val="00A80D63"/>
    <w:rsid w:val="00A82376"/>
    <w:rsid w:val="00AC60CF"/>
    <w:rsid w:val="00AE6D47"/>
    <w:rsid w:val="00AF03CD"/>
    <w:rsid w:val="00B34376"/>
    <w:rsid w:val="00B444AD"/>
    <w:rsid w:val="00B447EE"/>
    <w:rsid w:val="00B50882"/>
    <w:rsid w:val="00B5404C"/>
    <w:rsid w:val="00B56691"/>
    <w:rsid w:val="00B63BE6"/>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DEC"/>
    <w:rsid w:val="00D82D13"/>
    <w:rsid w:val="00D903E4"/>
    <w:rsid w:val="00D91F4D"/>
    <w:rsid w:val="00DA5B2D"/>
    <w:rsid w:val="00DB3FC5"/>
    <w:rsid w:val="00DB5461"/>
    <w:rsid w:val="00DD2832"/>
    <w:rsid w:val="00E05BAE"/>
    <w:rsid w:val="00E077D5"/>
    <w:rsid w:val="00E0781D"/>
    <w:rsid w:val="00E26661"/>
    <w:rsid w:val="00E4048D"/>
    <w:rsid w:val="00E417D4"/>
    <w:rsid w:val="00E44181"/>
    <w:rsid w:val="00E56B24"/>
    <w:rsid w:val="00E56EE5"/>
    <w:rsid w:val="00E83EED"/>
    <w:rsid w:val="00E86A6B"/>
    <w:rsid w:val="00EA7F08"/>
    <w:rsid w:val="00EB1786"/>
    <w:rsid w:val="00ED13C3"/>
    <w:rsid w:val="00F00D2D"/>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ghtingblindness.c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3.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59AB010-272E-470E-A4AA-A8E48268BF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3</TotalTime>
  <Pages>6</Pages>
  <Words>1706</Words>
  <Characters>9729</Characters>
  <Application>Microsoft Office Word</Application>
  <DocSecurity>0</DocSecurity>
  <Lines>81</Lines>
  <Paragraphs>22</Paragraphs>
  <ScaleCrop>false</ScaleCrop>
  <Company/>
  <LinksUpToDate>false</LinksUpToDate>
  <CharactersWithSpaces>11413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22</cp:revision>
  <cp:lastPrinted>2019-06-07T18:48:00Z</cp:lastPrinted>
  <dcterms:created xsi:type="dcterms:W3CDTF">2025-01-10T16:35:00Z</dcterms:created>
  <dcterms:modified xsi:type="dcterms:W3CDTF">2026-04-09T14:21:00Z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