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9196C" w14:textId="77777777" w:rsidR="00AC6172" w:rsidRPr="003E32A9" w:rsidRDefault="00AC6172" w:rsidP="00AC6172">
      <w:pPr>
        <w:spacing w:after="160"/>
        <w:rPr>
          <w:sz w:val="36"/>
          <w:szCs w:val="36"/>
        </w:rPr>
      </w:pPr>
      <w:r w:rsidRPr="003E32A9">
        <w:rPr>
          <w:b/>
          <w:bCs/>
          <w:caps/>
          <w:color w:val="1B2F6E"/>
          <w:sz w:val="40"/>
          <w:szCs w:val="40"/>
        </w:rPr>
        <w:t>IRD Webinar Transcript: Research &amp; Practice</w:t>
      </w:r>
    </w:p>
    <w:p w14:paraId="014E3022" w14:textId="77777777" w:rsidR="00AC6172" w:rsidRDefault="00AC6172" w:rsidP="00AC6172">
      <w:pPr>
        <w:spacing w:after="240"/>
      </w:pPr>
      <w:r>
        <w:rPr>
          <w:b/>
          <w:bCs/>
        </w:rPr>
        <w:t xml:space="preserve">Speakers: </w:t>
      </w:r>
      <w:r>
        <w:t xml:space="preserve">Dr. Larissa Moniz; Dr. Brian Ballios; Ushany </w:t>
      </w:r>
      <w:proofErr w:type="spellStart"/>
      <w:r>
        <w:t>Kanagendiran</w:t>
      </w:r>
      <w:proofErr w:type="spellEnd"/>
      <w:r>
        <w:t>; Ellis Parsons; Charmain Brown; Donna Martin</w:t>
      </w:r>
    </w:p>
    <w:p w14:paraId="2F994379" w14:textId="77777777" w:rsidR="00AC6172" w:rsidRPr="007A0129" w:rsidRDefault="00AC6172" w:rsidP="00AC6172">
      <w:pPr>
        <w:pStyle w:val="Heading1"/>
        <w:rPr>
          <w:sz w:val="36"/>
          <w:szCs w:val="36"/>
        </w:rPr>
      </w:pPr>
      <w:r w:rsidRPr="007A0129">
        <w:rPr>
          <w:sz w:val="36"/>
          <w:szCs w:val="36"/>
        </w:rPr>
        <w:t>Expert Discussion</w:t>
      </w:r>
    </w:p>
    <w:p w14:paraId="25BE3880" w14:textId="77777777" w:rsidR="00AC6172" w:rsidRPr="007A0129" w:rsidRDefault="00AC6172" w:rsidP="00AC6172">
      <w:pPr>
        <w:pStyle w:val="Heading2"/>
        <w:rPr>
          <w:sz w:val="32"/>
          <w:szCs w:val="32"/>
        </w:rPr>
      </w:pPr>
      <w:r w:rsidRPr="007A0129">
        <w:rPr>
          <w:sz w:val="32"/>
          <w:szCs w:val="32"/>
        </w:rPr>
        <w:t>Introduction</w:t>
      </w:r>
    </w:p>
    <w:p w14:paraId="0D8A46AE" w14:textId="77777777" w:rsidR="00AC6172" w:rsidRDefault="00AC6172" w:rsidP="00AC6172">
      <w:pPr>
        <w:spacing w:after="120"/>
      </w:pPr>
      <w:r>
        <w:rPr>
          <w:b/>
          <w:bCs/>
        </w:rPr>
        <w:t xml:space="preserve">Dr. Larissa Moniz: </w:t>
      </w:r>
      <w:r>
        <w:t>Welcome, everyone, and thank you for joining us tonight. For anyone who doesn’t know Dr. Brian Ballios, he is a clinician-scientist who specializes in inherited retinal diseases and is an assistant professor at the University of Toronto. He leads a clinic for patients with IRDs and has a strong research focus in this area. Dr. Ballios, it’s always wonderful to have you with us.</w:t>
      </w:r>
    </w:p>
    <w:p w14:paraId="0CC63793" w14:textId="77777777" w:rsidR="00AC6172" w:rsidRDefault="00AC6172" w:rsidP="00AC6172">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2B4EC0A2" w14:textId="77777777" w:rsidR="00AC6172" w:rsidRDefault="00AC6172" w:rsidP="00AC6172">
      <w:pPr>
        <w:spacing w:after="120"/>
      </w:pPr>
      <w:r>
        <w:t>If you have questions about your diagnosis or would like support finding resources, please contact the Fighting Blindness Canada Health Information Line at healthinfo@fightingblindness.ca or by phone. Our team is available to help you navigate your condition, find relevant clinical trials, and connect you with trusted information and support.</w:t>
      </w:r>
    </w:p>
    <w:p w14:paraId="0740C7DB" w14:textId="77777777" w:rsidR="00AC6172" w:rsidRDefault="00AC6172" w:rsidP="00AC6172">
      <w:pPr>
        <w:spacing w:after="80"/>
      </w:pPr>
    </w:p>
    <w:p w14:paraId="5B3FD2D8" w14:textId="77777777" w:rsidR="00AC6172" w:rsidRPr="007A0129" w:rsidRDefault="00AC6172" w:rsidP="00AC6172">
      <w:pPr>
        <w:pStyle w:val="Heading2"/>
        <w:rPr>
          <w:sz w:val="32"/>
          <w:szCs w:val="32"/>
        </w:rPr>
      </w:pPr>
      <w:r w:rsidRPr="007A0129">
        <w:rPr>
          <w:sz w:val="32"/>
          <w:szCs w:val="32"/>
        </w:rPr>
        <w:t>What Are Inherited Retinal Diseases?</w:t>
      </w:r>
    </w:p>
    <w:p w14:paraId="3A888618" w14:textId="77777777" w:rsidR="00AC6172" w:rsidRDefault="00AC6172" w:rsidP="00AC6172">
      <w:pPr>
        <w:spacing w:after="120"/>
      </w:pPr>
      <w:r>
        <w:rPr>
          <w:b/>
          <w:bCs/>
        </w:rPr>
        <w:t xml:space="preserve">Dr. Brian Ballios: </w:t>
      </w:r>
      <w:r>
        <w:t xml:space="preserve">Inherited retinal diseases are a group of conditions caused by changes in the genes that instruct the body in building and maintaining the retina. For some, this may be </w:t>
      </w:r>
      <w:proofErr w:type="gramStart"/>
      <w:r>
        <w:t>review</w:t>
      </w:r>
      <w:proofErr w:type="gramEnd"/>
      <w:r>
        <w:t>, particularly if we’ve met in clinic. But for others, it’s worth grounding ourselves in the basics.</w:t>
      </w:r>
    </w:p>
    <w:p w14:paraId="228D0BCE" w14:textId="77777777" w:rsidR="00AC6172" w:rsidRDefault="00AC6172" w:rsidP="00AC6172">
      <w:pPr>
        <w:spacing w:after="120"/>
      </w:pPr>
      <w:r>
        <w:t xml:space="preserve">The retina is the light-sensitive layer at the back of the eye. Think of it like a camera sensor — it captures images and sends signals to the brain. In IRDs, changes in specific genes cause the retinal cells to wear out or malfunction earlier than they should. </w:t>
      </w:r>
      <w:r>
        <w:lastRenderedPageBreak/>
        <w:t>These are largely hereditary conditions, though they can present very differently depending on which gene is affected and how the mutation behaves.</w:t>
      </w:r>
    </w:p>
    <w:p w14:paraId="180AA372" w14:textId="77777777" w:rsidR="00AC6172" w:rsidRDefault="00AC6172" w:rsidP="00AC6172">
      <w:pPr>
        <w:spacing w:after="120"/>
      </w:pPr>
      <w:r>
        <w:t xml:space="preserve">One of the most important things to understand about IRDs is how heterogeneous they are — meaning how much variation exists, both between conditions and even among people with the same genetic mutation. Two people with the same gene change can have very different experiences. This variability makes IRDs genuinely complex to study and </w:t>
      </w:r>
      <w:proofErr w:type="gramStart"/>
      <w:r>
        <w:t>treat, but</w:t>
      </w:r>
      <w:proofErr w:type="gramEnd"/>
      <w:r>
        <w:t xml:space="preserve"> also means that progress in one area can sometimes open doors for many others.</w:t>
      </w:r>
    </w:p>
    <w:p w14:paraId="6B2D1C6F" w14:textId="77777777" w:rsidR="00AC6172" w:rsidRDefault="00AC6172" w:rsidP="00AC6172">
      <w:pPr>
        <w:spacing w:after="80"/>
      </w:pPr>
    </w:p>
    <w:p w14:paraId="3CA8CE3A" w14:textId="77777777" w:rsidR="00AC6172" w:rsidRPr="007A0129" w:rsidRDefault="00AC6172" w:rsidP="00AC6172">
      <w:pPr>
        <w:pStyle w:val="Heading2"/>
        <w:rPr>
          <w:sz w:val="32"/>
          <w:szCs w:val="32"/>
        </w:rPr>
      </w:pPr>
      <w:r w:rsidRPr="007A0129">
        <w:rPr>
          <w:sz w:val="32"/>
          <w:szCs w:val="32"/>
        </w:rPr>
        <w:t xml:space="preserve">Why Are IRDs Progressive If You’re Born </w:t>
      </w:r>
      <w:proofErr w:type="gramStart"/>
      <w:r w:rsidRPr="007A0129">
        <w:rPr>
          <w:sz w:val="32"/>
          <w:szCs w:val="32"/>
        </w:rPr>
        <w:t>With</w:t>
      </w:r>
      <w:proofErr w:type="gramEnd"/>
      <w:r w:rsidRPr="007A0129">
        <w:rPr>
          <w:sz w:val="32"/>
          <w:szCs w:val="32"/>
        </w:rPr>
        <w:t xml:space="preserve"> the Mutation?</w:t>
      </w:r>
    </w:p>
    <w:p w14:paraId="32FC634F" w14:textId="77777777" w:rsidR="00AC6172" w:rsidRDefault="00AC6172" w:rsidP="00AC6172">
      <w:pPr>
        <w:spacing w:after="120"/>
      </w:pPr>
      <w:r>
        <w:rPr>
          <w:b/>
          <w:bCs/>
        </w:rPr>
        <w:t xml:space="preserve">Dr. Larissa Moniz: </w:t>
      </w:r>
      <w:r>
        <w:t xml:space="preserve">Can you explain why these diseases are progressive? If someone is born with </w:t>
      </w:r>
      <w:proofErr w:type="gramStart"/>
      <w:r>
        <w:t>the</w:t>
      </w:r>
      <w:proofErr w:type="gramEnd"/>
      <w:r>
        <w:t xml:space="preserve"> mutation, why isn’t vision affected right from birth?</w:t>
      </w:r>
    </w:p>
    <w:p w14:paraId="177A982E" w14:textId="77777777" w:rsidR="00AC6172" w:rsidRDefault="00AC6172" w:rsidP="00AC6172">
      <w:pPr>
        <w:spacing w:after="120"/>
      </w:pPr>
      <w:r>
        <w:rPr>
          <w:b/>
          <w:bCs/>
        </w:rPr>
        <w:t xml:space="preserve">Dr. Brian Ballios: </w:t>
      </w:r>
      <w:r>
        <w:t xml:space="preserve">It’s a great question, and honestly, for many of these genes, we don’t fully know the answer. The retina can function normally — or close to normally — for </w:t>
      </w:r>
      <w:proofErr w:type="gramStart"/>
      <w:r>
        <w:t>a period of time</w:t>
      </w:r>
      <w:proofErr w:type="gramEnd"/>
      <w:r>
        <w:t xml:space="preserve">, sometimes many years, before the cells begin to deteriorate. Part of the reason may be that the cells have enough reserve capacity to compensate early on, and only when that reserve is depleted does the functional decline begin to show. There are also likely factors related to cumulative damage over time — exposure to light, metabolic stress, and the ongoing demands placed on the retinal cells. Epigenetics also plays a </w:t>
      </w:r>
      <w:proofErr w:type="gramStart"/>
      <w:r>
        <w:t>role, which</w:t>
      </w:r>
      <w:proofErr w:type="gramEnd"/>
      <w:r>
        <w:t xml:space="preserve"> we’ll come to. In some conditions, vision is affected from birth. In others, the onset of symptoms doesn’t happen until adulthood or even later life. Why the timeline differs so much between conditions and between individuals is an area of active research.</w:t>
      </w:r>
    </w:p>
    <w:p w14:paraId="552CE551" w14:textId="77777777" w:rsidR="00AC6172" w:rsidRDefault="00AC6172" w:rsidP="00AC6172">
      <w:pPr>
        <w:spacing w:after="80"/>
      </w:pPr>
    </w:p>
    <w:p w14:paraId="36662EA4" w14:textId="77777777" w:rsidR="00AC6172" w:rsidRPr="007A0129" w:rsidRDefault="00AC6172" w:rsidP="00AC6172">
      <w:pPr>
        <w:pStyle w:val="Heading2"/>
        <w:rPr>
          <w:sz w:val="32"/>
          <w:szCs w:val="32"/>
        </w:rPr>
      </w:pPr>
      <w:r w:rsidRPr="007A0129">
        <w:rPr>
          <w:sz w:val="32"/>
          <w:szCs w:val="32"/>
        </w:rPr>
        <w:t>How Do IRDs Affect Vision?</w:t>
      </w:r>
    </w:p>
    <w:p w14:paraId="091817BB" w14:textId="77777777" w:rsidR="00AC6172" w:rsidRDefault="00AC6172" w:rsidP="00AC6172">
      <w:pPr>
        <w:spacing w:after="120"/>
      </w:pPr>
      <w:r>
        <w:rPr>
          <w:b/>
          <w:bCs/>
        </w:rPr>
        <w:t xml:space="preserve">Dr. Larissa Moniz: </w:t>
      </w:r>
      <w:r>
        <w:t>There’s so much variability in how these conditions affect people. Can you help us understand the different ways vision can be impacted?</w:t>
      </w:r>
    </w:p>
    <w:p w14:paraId="7C5325B7" w14:textId="77777777" w:rsidR="00AC6172" w:rsidRDefault="00AC6172" w:rsidP="00AC6172">
      <w:pPr>
        <w:spacing w:after="120"/>
      </w:pPr>
      <w:r>
        <w:rPr>
          <w:b/>
          <w:bCs/>
        </w:rPr>
        <w:t xml:space="preserve">Dr. Brian Ballios: </w:t>
      </w:r>
      <w:r>
        <w:t xml:space="preserve">One helpful way to think about this is in terms of which part of the retina is most affected. The </w:t>
      </w:r>
      <w:proofErr w:type="spellStart"/>
      <w:r>
        <w:t>centre</w:t>
      </w:r>
      <w:proofErr w:type="spellEnd"/>
      <w:r>
        <w:t xml:space="preserve"> of the retina — the macula — is responsible for sharp, detailed vision: reading, recognizing faces, seeing </w:t>
      </w:r>
      <w:proofErr w:type="spellStart"/>
      <w:r>
        <w:t>colour</w:t>
      </w:r>
      <w:proofErr w:type="spellEnd"/>
      <w:r>
        <w:t>. The peripheral retina handles everything around the edges — navigation, movement</w:t>
      </w:r>
      <w:proofErr w:type="gramStart"/>
      <w:r>
        <w:t>, vision</w:t>
      </w:r>
      <w:proofErr w:type="gramEnd"/>
      <w:r>
        <w:t xml:space="preserve"> in low light. Different IRDs affect these areas differently.</w:t>
      </w:r>
    </w:p>
    <w:p w14:paraId="1CDAD3F2" w14:textId="77777777" w:rsidR="00AC6172" w:rsidRDefault="00AC6172" w:rsidP="00AC6172">
      <w:pPr>
        <w:spacing w:after="120"/>
      </w:pPr>
      <w:r>
        <w:lastRenderedPageBreak/>
        <w:t>Retinitis pigmentosa, for example, typically affects the peripheral retina first. People with RP often experience night blindness early on and then gradually lose peripheral vision, sometimes developing what’s called tunnel vision. Central vision can remain relatively preserved for a long time. Stargardt disease, on the other hand, is a macular dystrophy — it affects the central retina first, so reading and face recognition are often the earliest challenges, while peripheral vision may remain intact. Understanding which part of the retina is affected, and how the disease is likely to progress, helps us think about which types of therapies might be most appropriate for a given patient.</w:t>
      </w:r>
    </w:p>
    <w:p w14:paraId="1201A523" w14:textId="77777777" w:rsidR="00AC6172" w:rsidRDefault="00AC6172" w:rsidP="00AC6172">
      <w:pPr>
        <w:spacing w:after="80"/>
      </w:pPr>
    </w:p>
    <w:p w14:paraId="6428E85C" w14:textId="77777777" w:rsidR="00AC6172" w:rsidRPr="007A0129" w:rsidRDefault="00AC6172" w:rsidP="00AC6172">
      <w:pPr>
        <w:pStyle w:val="Heading2"/>
        <w:rPr>
          <w:sz w:val="32"/>
          <w:szCs w:val="32"/>
        </w:rPr>
      </w:pPr>
      <w:r w:rsidRPr="007A0129">
        <w:rPr>
          <w:sz w:val="32"/>
          <w:szCs w:val="32"/>
        </w:rPr>
        <w:t>Epigenetics and IRDs</w:t>
      </w:r>
    </w:p>
    <w:p w14:paraId="1066F78D" w14:textId="77777777" w:rsidR="00AC6172" w:rsidRDefault="00AC6172" w:rsidP="00AC6172">
      <w:pPr>
        <w:spacing w:after="120"/>
      </w:pPr>
      <w:r>
        <w:rPr>
          <w:b/>
          <w:bCs/>
        </w:rPr>
        <w:t xml:space="preserve">Dr. Larissa Moniz: </w:t>
      </w:r>
      <w:r>
        <w:t>We had a question from Sylvain about epigenetics — a topic we don’t always address in discussions about genetic eye disease. What are the recent developments in that area?</w:t>
      </w:r>
    </w:p>
    <w:p w14:paraId="5933A5CD" w14:textId="77777777" w:rsidR="00AC6172" w:rsidRDefault="00AC6172" w:rsidP="00AC6172">
      <w:pPr>
        <w:spacing w:after="120"/>
      </w:pPr>
      <w:r>
        <w:rPr>
          <w:b/>
          <w:bCs/>
        </w:rPr>
        <w:t xml:space="preserve">Dr. Brian Ballios: </w:t>
      </w:r>
      <w:r>
        <w:t>Epigenetics is the branch of genetics that looks at how cells decide when, how, and to what extent certain genes are read and turned into proteins. Think of the genome as a massive instruction manual for the body. Epigenetics is about which pages of that manual are open and readable at any given time. These ‘on/off’ switches are controlled by chemical modifications to the DNA or to the proteins it wraps around, and they can be influenced by environment, age, and other factors.</w:t>
      </w:r>
    </w:p>
    <w:p w14:paraId="2D6C918D" w14:textId="77777777" w:rsidR="00AC6172" w:rsidRDefault="00AC6172" w:rsidP="00AC6172">
      <w:pPr>
        <w:spacing w:after="120"/>
      </w:pPr>
      <w:r>
        <w:t>In the context of IRDs, epigenetics helps explain some of the variability we see — why two people with the same genetic mutation can have very different outcomes. Their underlying DNA sequence may be identical, but the way those genes are expressed can differ based on epigenetic factors. This is one reason why siblings with the same inherited mutation can have quite different clinical courses. We see this in clinic relatively commonly, and it can make those visits complex — family members want to compare notes, which is understandable, but the differences between them are real and not simply a matter of one person doing something differently. Epigenetic approaches to therapy — trying to modify gene expression without changing the underlying DNA — are an emerging area of research that may eventually complement more traditional gene therapy approaches.</w:t>
      </w:r>
    </w:p>
    <w:p w14:paraId="39188D2A" w14:textId="77777777" w:rsidR="00AC6172" w:rsidRDefault="00AC6172" w:rsidP="00AC6172">
      <w:pPr>
        <w:spacing w:after="80"/>
      </w:pPr>
    </w:p>
    <w:p w14:paraId="7DEC4DE9" w14:textId="77777777" w:rsidR="00AC6172" w:rsidRPr="007A0129" w:rsidRDefault="00AC6172" w:rsidP="00AC6172">
      <w:pPr>
        <w:pStyle w:val="Heading2"/>
        <w:rPr>
          <w:sz w:val="32"/>
          <w:szCs w:val="32"/>
        </w:rPr>
      </w:pPr>
      <w:r w:rsidRPr="007A0129">
        <w:rPr>
          <w:sz w:val="32"/>
          <w:szCs w:val="32"/>
        </w:rPr>
        <w:lastRenderedPageBreak/>
        <w:t xml:space="preserve">Genetic Testing: When, </w:t>
      </w:r>
      <w:proofErr w:type="gramStart"/>
      <w:r w:rsidRPr="007A0129">
        <w:rPr>
          <w:sz w:val="32"/>
          <w:szCs w:val="32"/>
        </w:rPr>
        <w:t>Why</w:t>
      </w:r>
      <w:proofErr w:type="gramEnd"/>
      <w:r w:rsidRPr="007A0129">
        <w:rPr>
          <w:sz w:val="32"/>
          <w:szCs w:val="32"/>
        </w:rPr>
        <w:t>, and What to Expect</w:t>
      </w:r>
    </w:p>
    <w:p w14:paraId="6D75D2B0" w14:textId="77777777" w:rsidR="00AC6172" w:rsidRDefault="00AC6172" w:rsidP="00AC6172">
      <w:pPr>
        <w:spacing w:after="120"/>
      </w:pPr>
      <w:r>
        <w:rPr>
          <w:b/>
          <w:bCs/>
        </w:rPr>
        <w:t xml:space="preserve">Dr. Larissa Moniz: </w:t>
      </w:r>
      <w:r>
        <w:t>Can you give us a brief overview of how genetic testing fits into your clinical practice?</w:t>
      </w:r>
    </w:p>
    <w:p w14:paraId="5C208B45" w14:textId="77777777" w:rsidR="00AC6172" w:rsidRDefault="00AC6172" w:rsidP="00AC6172">
      <w:pPr>
        <w:spacing w:after="120"/>
      </w:pPr>
      <w:r>
        <w:rPr>
          <w:b/>
          <w:bCs/>
        </w:rPr>
        <w:t xml:space="preserve">Dr. Brian Ballios: </w:t>
      </w:r>
      <w:r>
        <w:t>There are a few separate questions bundled in there. When do I use genetic testing? Why might I choose not to order it for a particular patient? And why might governments fund or decline to fund it? These are three distinct considerations.</w:t>
      </w:r>
    </w:p>
    <w:p w14:paraId="678BAE1B" w14:textId="77777777" w:rsidR="00AC6172" w:rsidRDefault="00AC6172" w:rsidP="00AC6172">
      <w:pPr>
        <w:spacing w:after="120"/>
      </w:pPr>
      <w:r>
        <w:t>In terms of when I use it: genetic testing is increasingly standard of care for IRDs, because identifying the specific gene involved has real implications for prognosis, family planning, and most importantly for eligibility for existing and upcoming treatments. Luxturna, the only approved gene therapy for IRDs in Canada, is only available to patients with RPE65 mutations — so without genetic testing, you can’t access it. As more gene-specific therapies move through clinical trials, that pattern will continue.</w:t>
      </w:r>
    </w:p>
    <w:p w14:paraId="74A32C0E" w14:textId="77777777" w:rsidR="00AC6172" w:rsidRDefault="00AC6172" w:rsidP="00AC6172">
      <w:pPr>
        <w:spacing w:after="120"/>
      </w:pPr>
      <w:r>
        <w:t>Why might I not order it? Sometimes the clinical picture is clear enough that the genetic result wouldn’t change management. And there’s also the matter of pre-test counseling — genetic testing has implications not just for the patient but for their family members, and people should understand what they might learn before they consent. Some patients, after that conversation, decide they’re not ready for that information, which is a valid choice.</w:t>
      </w:r>
    </w:p>
    <w:p w14:paraId="32DE04A8" w14:textId="77777777" w:rsidR="00AC6172" w:rsidRDefault="00AC6172" w:rsidP="00AC6172">
      <w:pPr>
        <w:spacing w:after="120"/>
      </w:pPr>
      <w:r>
        <w:t>On funding: provincial coverage for genetic testing varies across Canada, and coverage decisions are made based on factors like cost-effectiveness, clinical utility, and whether the result is likely to change treatment. That’s an evolving area as more treatments become available, because the utility of knowing your specific gene mutation is increasing.</w:t>
      </w:r>
    </w:p>
    <w:p w14:paraId="0A656658" w14:textId="77777777" w:rsidR="00AC6172" w:rsidRDefault="00AC6172" w:rsidP="00AC6172">
      <w:pPr>
        <w:spacing w:after="80"/>
      </w:pPr>
    </w:p>
    <w:p w14:paraId="6F13F21E" w14:textId="77777777" w:rsidR="00AC6172" w:rsidRPr="007A0129" w:rsidRDefault="00AC6172" w:rsidP="00AC6172">
      <w:pPr>
        <w:pStyle w:val="Heading2"/>
        <w:rPr>
          <w:sz w:val="32"/>
          <w:szCs w:val="32"/>
        </w:rPr>
      </w:pPr>
      <w:r w:rsidRPr="007A0129">
        <w:rPr>
          <w:sz w:val="32"/>
          <w:szCs w:val="32"/>
        </w:rPr>
        <w:t>Q&amp;A: What Is an Isoform and How Does It Relate to Gene Therapy?</w:t>
      </w:r>
    </w:p>
    <w:p w14:paraId="6B3C52EB" w14:textId="77777777" w:rsidR="00AC6172" w:rsidRDefault="00AC6172" w:rsidP="00AC6172">
      <w:pPr>
        <w:spacing w:after="120"/>
      </w:pPr>
      <w:r>
        <w:rPr>
          <w:b/>
          <w:bCs/>
        </w:rPr>
        <w:t xml:space="preserve">Dr. Brian Ballios: </w:t>
      </w:r>
      <w:r>
        <w:t xml:space="preserve">An isoform is a version of a protein produced from the same gene. Genes can sometimes produce slightly different versions of their protein — these are isoforms — often depending on which parts of the genetic code are included when the gene is read and assembled into a protein. For gene therapy, this matters because if a gene produces multiple isoforms — some of which are critical in the retina and some of which are important elsewhere in the body — you need to make sure the version you’re </w:t>
      </w:r>
      <w:r>
        <w:lastRenderedPageBreak/>
        <w:t xml:space="preserve">delivering via gene therapy is the right one for the target tissue. A therapy that delivers the wrong isoform may not be effective, and in some cases could cause problems. It’s one of the reasons gene therapy </w:t>
      </w:r>
      <w:proofErr w:type="gramStart"/>
      <w:r>
        <w:t>development</w:t>
      </w:r>
      <w:proofErr w:type="gramEnd"/>
      <w:r>
        <w:t xml:space="preserve"> is so technically demanding.</w:t>
      </w:r>
    </w:p>
    <w:p w14:paraId="0446027A" w14:textId="77777777" w:rsidR="00AC6172" w:rsidRDefault="00AC6172" w:rsidP="00AC6172">
      <w:pPr>
        <w:spacing w:after="80"/>
      </w:pPr>
    </w:p>
    <w:p w14:paraId="0CD9B49A" w14:textId="77777777" w:rsidR="00AC6172" w:rsidRPr="007A0129" w:rsidRDefault="00AC6172" w:rsidP="00AC6172">
      <w:pPr>
        <w:pStyle w:val="Heading2"/>
        <w:rPr>
          <w:sz w:val="32"/>
          <w:szCs w:val="32"/>
        </w:rPr>
      </w:pPr>
      <w:r w:rsidRPr="007A0129">
        <w:rPr>
          <w:sz w:val="32"/>
          <w:szCs w:val="32"/>
        </w:rPr>
        <w:t>Q&amp;A: Who Should You Talk to About Genetic Testing?</w:t>
      </w:r>
    </w:p>
    <w:p w14:paraId="16F226DA" w14:textId="77777777" w:rsidR="00AC6172" w:rsidRDefault="00AC6172" w:rsidP="00AC6172">
      <w:pPr>
        <w:spacing w:after="120"/>
      </w:pPr>
      <w:r>
        <w:rPr>
          <w:b/>
          <w:bCs/>
        </w:rPr>
        <w:t xml:space="preserve">Dr. Larissa Moniz: </w:t>
      </w:r>
      <w:r>
        <w:t>Who should someone speak to if they want to request genetic testing — their GP or a specialist?</w:t>
      </w:r>
    </w:p>
    <w:p w14:paraId="62C947CB" w14:textId="77777777" w:rsidR="00AC6172" w:rsidRDefault="00AC6172" w:rsidP="00AC6172">
      <w:pPr>
        <w:spacing w:after="120"/>
      </w:pPr>
      <w:r>
        <w:rPr>
          <w:b/>
          <w:bCs/>
        </w:rPr>
        <w:t xml:space="preserve">Dr. Brian Ballios: </w:t>
      </w:r>
      <w:r>
        <w:t>In most cases, the specialists are best placed to order and interpret genetic testing for IRDs, because there’s a whole process involved. Pre-test counseling is important — patients need to understand what they might learn and what the implications are for them and their families before testing begins. After the results come back, there’s post-test counseling, which helps patients understand what the findings mean in practical terms. A general practitioner can technically order genetic testing, but for something as complex and clinically significant as an IRD, having a specialist or genetic counselor involved makes a real difference. If you’re not currently connected to an IRD specialist, your GP can provide a referral, and Fighting Blindness Canada’s Health Information Line can also help you navigate that process.</w:t>
      </w:r>
    </w:p>
    <w:p w14:paraId="5ED42557" w14:textId="77777777" w:rsidR="00AC6172" w:rsidRDefault="00AC6172" w:rsidP="00AC6172">
      <w:pPr>
        <w:spacing w:after="80"/>
      </w:pPr>
    </w:p>
    <w:p w14:paraId="0BA95858" w14:textId="77777777" w:rsidR="00AC6172" w:rsidRPr="007A0129" w:rsidRDefault="00AC6172" w:rsidP="00AC6172">
      <w:pPr>
        <w:pStyle w:val="Heading2"/>
        <w:rPr>
          <w:sz w:val="32"/>
          <w:szCs w:val="32"/>
        </w:rPr>
      </w:pPr>
      <w:r w:rsidRPr="007A0129">
        <w:rPr>
          <w:sz w:val="32"/>
          <w:szCs w:val="32"/>
        </w:rPr>
        <w:t>Q&amp;A: What If No Mutation Has Been Found Despite Multiple Tests?</w:t>
      </w:r>
    </w:p>
    <w:p w14:paraId="7AAEE45C" w14:textId="77777777" w:rsidR="00AC6172" w:rsidRDefault="00AC6172" w:rsidP="00AC6172">
      <w:pPr>
        <w:spacing w:after="120"/>
      </w:pPr>
      <w:r>
        <w:rPr>
          <w:b/>
          <w:bCs/>
        </w:rPr>
        <w:t xml:space="preserve">Dr. Larissa Moniz: </w:t>
      </w:r>
      <w:r>
        <w:t xml:space="preserve">Someone has confirmed RP in both </w:t>
      </w:r>
      <w:proofErr w:type="gramStart"/>
      <w:r>
        <w:t>eyes</w:t>
      </w:r>
      <w:proofErr w:type="gramEnd"/>
      <w:r>
        <w:t xml:space="preserve"> but no mutation has been identified despite multiple rounds of whole genome sequencing. What would you say to them?</w:t>
      </w:r>
    </w:p>
    <w:p w14:paraId="227B86B3" w14:textId="77777777" w:rsidR="00AC6172" w:rsidRDefault="00AC6172" w:rsidP="00AC6172">
      <w:pPr>
        <w:spacing w:after="120"/>
      </w:pPr>
      <w:r>
        <w:rPr>
          <w:b/>
          <w:bCs/>
        </w:rPr>
        <w:t xml:space="preserve">Dr. Brian Ballios: </w:t>
      </w:r>
      <w:r>
        <w:t xml:space="preserve">It’s more common than people might expect. Whole genome sequencing is very good at finding mutations in the coding regions of genes, but there are also changes in how genes are structured and spliced together — not just in the sequence itself — that can cause disease without being detected by standard sequencing. </w:t>
      </w:r>
      <w:proofErr w:type="gramStart"/>
      <w:r>
        <w:t>The technology</w:t>
      </w:r>
      <w:proofErr w:type="gramEnd"/>
      <w:r>
        <w:t xml:space="preserve"> is continuing to improve, and variants that are missed today may be identifiable in a few years. It’s worth periodically re-engaging with your specialist or a genetics team to see whether reanalysis of existing data, or new testing technologies, might yield an answer. A negative result today doesn’t mean a negative result forever.</w:t>
      </w:r>
    </w:p>
    <w:p w14:paraId="77EB3C71" w14:textId="77777777" w:rsidR="00AC6172" w:rsidRDefault="00AC6172" w:rsidP="00AC6172">
      <w:pPr>
        <w:spacing w:after="80"/>
      </w:pPr>
    </w:p>
    <w:p w14:paraId="167ABCD4" w14:textId="77777777" w:rsidR="00AC6172" w:rsidRPr="007A0129" w:rsidRDefault="00AC6172" w:rsidP="00AC6172">
      <w:pPr>
        <w:pStyle w:val="Heading2"/>
        <w:rPr>
          <w:sz w:val="32"/>
          <w:szCs w:val="32"/>
        </w:rPr>
      </w:pPr>
      <w:r w:rsidRPr="007A0129">
        <w:rPr>
          <w:sz w:val="32"/>
          <w:szCs w:val="32"/>
        </w:rPr>
        <w:t>Q&amp;A: What If a Partial Diagnosis Was Made Over 20 Years Ago?</w:t>
      </w:r>
    </w:p>
    <w:p w14:paraId="7DAADB91" w14:textId="77777777" w:rsidR="00AC6172" w:rsidRDefault="00AC6172" w:rsidP="00AC6172">
      <w:pPr>
        <w:spacing w:after="120"/>
      </w:pPr>
      <w:r>
        <w:rPr>
          <w:b/>
          <w:bCs/>
        </w:rPr>
        <w:t xml:space="preserve">Dr. Larissa Moniz: </w:t>
      </w:r>
      <w:r>
        <w:t>Someone was told they had an X-linked genetic disorder over 20 years ago but never received confirmation of which gene was affected. What would you recommend?</w:t>
      </w:r>
    </w:p>
    <w:p w14:paraId="1EB63F9E" w14:textId="77777777" w:rsidR="00AC6172" w:rsidRDefault="00AC6172" w:rsidP="00AC6172">
      <w:pPr>
        <w:spacing w:after="120"/>
      </w:pPr>
      <w:r>
        <w:rPr>
          <w:b/>
          <w:bCs/>
        </w:rPr>
        <w:t xml:space="preserve">Dr. Brian Ballios: </w:t>
      </w:r>
      <w:r>
        <w:t>Twenty years is a long time. Genetic testing has advanced enormously in that period, and what was state-of-the-art two decades ago is now quite limited compared to what’s available today. If you know where the testing was done, it’s worth contacting that clinic to see whether records still exist and whether a re-evaluation makes sense. If the original team is no longer there, asking your current ophthalmologist or GP for a referral for updated genetic testing is a reasonable starting point. Many of the things that were undetectable 20 years ago can now be found with modern sequencing technologies.</w:t>
      </w:r>
    </w:p>
    <w:p w14:paraId="50B34047" w14:textId="77777777" w:rsidR="00AC6172" w:rsidRDefault="00AC6172" w:rsidP="00AC6172">
      <w:pPr>
        <w:spacing w:after="80"/>
      </w:pPr>
    </w:p>
    <w:p w14:paraId="07B5C042" w14:textId="77777777" w:rsidR="00AC6172" w:rsidRPr="007A0129" w:rsidRDefault="00AC6172" w:rsidP="00AC6172">
      <w:pPr>
        <w:pStyle w:val="Heading2"/>
        <w:rPr>
          <w:sz w:val="32"/>
          <w:szCs w:val="32"/>
        </w:rPr>
      </w:pPr>
      <w:r w:rsidRPr="007A0129">
        <w:rPr>
          <w:sz w:val="32"/>
          <w:szCs w:val="32"/>
        </w:rPr>
        <w:t>Q&amp;A: Overview of Current and Emerging Therapies</w:t>
      </w:r>
    </w:p>
    <w:p w14:paraId="629D5CFF" w14:textId="77777777" w:rsidR="00AC6172" w:rsidRDefault="00AC6172" w:rsidP="00AC6172">
      <w:pPr>
        <w:spacing w:after="120"/>
      </w:pPr>
      <w:r>
        <w:rPr>
          <w:b/>
          <w:bCs/>
        </w:rPr>
        <w:t xml:space="preserve">Dr. Larissa Moniz: </w:t>
      </w:r>
      <w:r>
        <w:t xml:space="preserve">Before we get into specific questions about </w:t>
      </w:r>
      <w:proofErr w:type="gramStart"/>
      <w:r>
        <w:t>particular treatments</w:t>
      </w:r>
      <w:proofErr w:type="gramEnd"/>
      <w:r>
        <w:t>, could you give us a broad overview of the current therapeutic landscape for IRDs?</w:t>
      </w:r>
    </w:p>
    <w:p w14:paraId="4A05853E" w14:textId="77777777" w:rsidR="00AC6172" w:rsidRDefault="00AC6172" w:rsidP="00AC6172">
      <w:pPr>
        <w:spacing w:after="120"/>
      </w:pPr>
      <w:r>
        <w:rPr>
          <w:b/>
          <w:bCs/>
        </w:rPr>
        <w:t xml:space="preserve">Dr. Brian Ballios: </w:t>
      </w:r>
      <w:r>
        <w:t>At the broadest level, therapies for IRDs fall into a few categories. Gene therapy — replacing or modifying a defective gene — is the most advanced, with Luxturna being the only approved option to date, though many others are in clinical trials. Stem cell therapy aims to replace lost retinal cells, and there are now early human trials underway. Optogenetics involves making other retinal cells light-sensitive to compensate for lost photoreceptors. And there are neuroprotective approaches — using drugs or other interventions to slow the degeneration of cells that are still present, buying time regardless of the specific gene involved.</w:t>
      </w:r>
    </w:p>
    <w:p w14:paraId="50D576DC" w14:textId="77777777" w:rsidR="00AC6172" w:rsidRDefault="00AC6172" w:rsidP="00AC6172">
      <w:pPr>
        <w:spacing w:after="120"/>
      </w:pPr>
      <w:r>
        <w:t xml:space="preserve">An important distinction is between gene-specific therapies, which only work for people with a particular mutation, and gene-agnostic therapies, which aim to help regardless of the underlying genetics. Given that there are over 300 genes associated with IRDs, developing separate therapies for each one is not feasible on </w:t>
      </w:r>
      <w:proofErr w:type="gramStart"/>
      <w:r>
        <w:t>its</w:t>
      </w:r>
      <w:proofErr w:type="gramEnd"/>
      <w:r>
        <w:t xml:space="preserve"> own, which is why gene-agnostic approaches are receiving increasing attention.</w:t>
      </w:r>
    </w:p>
    <w:p w14:paraId="283DBFDF" w14:textId="77777777" w:rsidR="00AC6172" w:rsidRDefault="00AC6172" w:rsidP="00AC6172">
      <w:pPr>
        <w:spacing w:after="120"/>
      </w:pPr>
      <w:r>
        <w:lastRenderedPageBreak/>
        <w:t>There’s also a distinction between therapies delivered as traditional medications — pills or injections that can be started and stopped — and genetic therapies that are delivered surgically and make more permanent changes at the level of DNA. The latter carry different risk profiles and require careful thought before participation, because their long-term effects are still being understood.</w:t>
      </w:r>
    </w:p>
    <w:p w14:paraId="63F6A1B4" w14:textId="77777777" w:rsidR="00AC6172" w:rsidRDefault="00AC6172" w:rsidP="00AC6172">
      <w:pPr>
        <w:spacing w:after="80"/>
      </w:pPr>
    </w:p>
    <w:p w14:paraId="07A6727A" w14:textId="77777777" w:rsidR="00AC6172" w:rsidRPr="007A0129" w:rsidRDefault="00AC6172" w:rsidP="00AC6172">
      <w:pPr>
        <w:pStyle w:val="Heading2"/>
        <w:rPr>
          <w:sz w:val="32"/>
          <w:szCs w:val="32"/>
        </w:rPr>
      </w:pPr>
      <w:r w:rsidRPr="007A0129">
        <w:rPr>
          <w:sz w:val="32"/>
          <w:szCs w:val="32"/>
        </w:rPr>
        <w:t>Q&amp;A: Age and Clinical Trial Eligibility</w:t>
      </w:r>
    </w:p>
    <w:p w14:paraId="17825E02" w14:textId="77777777" w:rsidR="00AC6172" w:rsidRDefault="00AC6172" w:rsidP="00AC6172">
      <w:pPr>
        <w:spacing w:after="120"/>
      </w:pPr>
      <w:r>
        <w:rPr>
          <w:b/>
          <w:bCs/>
        </w:rPr>
        <w:t xml:space="preserve">Dr. Larissa Moniz: </w:t>
      </w:r>
      <w:r>
        <w:t>Several people are asking about whether age affects eligibility for clinical trials. Will gene therapy or stem cell therapy work at any age, or is it primarily for younger patients?</w:t>
      </w:r>
    </w:p>
    <w:p w14:paraId="7F5D223A" w14:textId="77777777" w:rsidR="00AC6172" w:rsidRDefault="00AC6172" w:rsidP="00AC6172">
      <w:pPr>
        <w:spacing w:after="120"/>
      </w:pPr>
      <w:r>
        <w:rPr>
          <w:b/>
          <w:bCs/>
        </w:rPr>
        <w:t xml:space="preserve">Dr. Brian Ballios: </w:t>
      </w:r>
      <w:r>
        <w:t>Clinical trials are very specific about who they include and exclude, and they do this deliberately — within conditions that are already incredibly heterogeneous, they need to create a more homogeneous study population so that any effect of the treatment can be clearly measured. Age is one criterion among many, and it varies considerably between trials.</w:t>
      </w:r>
    </w:p>
    <w:p w14:paraId="32F7116B" w14:textId="77777777" w:rsidR="00AC6172" w:rsidRDefault="00AC6172" w:rsidP="00AC6172">
      <w:pPr>
        <w:spacing w:after="120"/>
      </w:pPr>
      <w:r>
        <w:t>Some trials set lower age limits because they’re studying conditions that affect children, or because they want to intervene before too much degeneration has occurred. Others set upper limits for various reasons. But age alone is often not the determining factor. Vision level, the extent of retinal degeneration, your specific gene mutation, and other health factors all play a role in eligibility.</w:t>
      </w:r>
    </w:p>
    <w:p w14:paraId="4B640392" w14:textId="77777777" w:rsidR="00AC6172" w:rsidRDefault="00AC6172" w:rsidP="00AC6172">
      <w:pPr>
        <w:spacing w:after="120"/>
      </w:pPr>
      <w:r>
        <w:rPr>
          <w:b/>
          <w:bCs/>
        </w:rPr>
        <w:t xml:space="preserve">Dr. Larissa Moniz: </w:t>
      </w:r>
      <w:r>
        <w:t xml:space="preserve">And I’ll </w:t>
      </w:r>
      <w:proofErr w:type="gramStart"/>
      <w:r>
        <w:t>add —</w:t>
      </w:r>
      <w:proofErr w:type="gramEnd"/>
      <w:r>
        <w:t xml:space="preserve"> I’ve spoken with a community member in their 80s who was enrolled in a five-year gene therapy clinical trial, in another country. </w:t>
      </w:r>
      <w:proofErr w:type="gramStart"/>
      <w:r>
        <w:t>So</w:t>
      </w:r>
      <w:proofErr w:type="gramEnd"/>
      <w:r>
        <w:t xml:space="preserve"> it really does depend on the trial. For rare conditions where there aren’t many eligible patients globally, trial sponsors sometimes cast a much wider net than you might expect.</w:t>
      </w:r>
    </w:p>
    <w:p w14:paraId="56E9DFBD" w14:textId="77777777" w:rsidR="00AC6172" w:rsidRDefault="00AC6172" w:rsidP="00AC6172">
      <w:pPr>
        <w:spacing w:after="80"/>
      </w:pPr>
    </w:p>
    <w:p w14:paraId="65393E7C" w14:textId="77777777" w:rsidR="00AC6172" w:rsidRPr="007A0129" w:rsidRDefault="00AC6172" w:rsidP="00AC6172">
      <w:pPr>
        <w:pStyle w:val="Heading2"/>
        <w:rPr>
          <w:sz w:val="32"/>
          <w:szCs w:val="32"/>
        </w:rPr>
      </w:pPr>
      <w:r w:rsidRPr="007A0129">
        <w:rPr>
          <w:sz w:val="32"/>
          <w:szCs w:val="32"/>
        </w:rPr>
        <w:t>Q&amp;A: Will Stem Cell Therapy Restore Vision or Preserve It?</w:t>
      </w:r>
    </w:p>
    <w:p w14:paraId="601EF94E" w14:textId="77777777" w:rsidR="00AC6172" w:rsidRDefault="00AC6172" w:rsidP="00AC6172">
      <w:pPr>
        <w:spacing w:after="120"/>
      </w:pPr>
      <w:r>
        <w:rPr>
          <w:b/>
          <w:bCs/>
        </w:rPr>
        <w:t xml:space="preserve">Dr. Larissa Moniz: </w:t>
      </w:r>
      <w:r>
        <w:t>For stem cell therapies for IRDs, will they restore vision or preserve it? And is there anything you can share about the Blue Rock trial specifically?</w:t>
      </w:r>
    </w:p>
    <w:p w14:paraId="1F4F1282" w14:textId="77777777" w:rsidR="00AC6172" w:rsidRDefault="00AC6172" w:rsidP="00AC6172">
      <w:pPr>
        <w:spacing w:after="120"/>
      </w:pPr>
      <w:r>
        <w:rPr>
          <w:b/>
          <w:bCs/>
        </w:rPr>
        <w:t xml:space="preserve">Dr. Brian Ballios: </w:t>
      </w:r>
      <w:r>
        <w:t xml:space="preserve">The early hope for stem cells was restoration — that you could rebuild vision that had already been lost. And that remains a goal. But we’re learning more about what stem cells can and can’t currently do, and preservation is now </w:t>
      </w:r>
      <w:r>
        <w:lastRenderedPageBreak/>
        <w:t>recognized as an equally important outcome. If stem cells can slow or halt the loss of remaining vision, that’s enormously valuable, even if it’s not full restoration.</w:t>
      </w:r>
    </w:p>
    <w:p w14:paraId="3785D1A7" w14:textId="77777777" w:rsidR="00AC6172" w:rsidRDefault="00AC6172" w:rsidP="00AC6172">
      <w:pPr>
        <w:spacing w:after="120"/>
      </w:pPr>
      <w:r>
        <w:t xml:space="preserve">On the Blue Rock trial specifically: I’m not an investigator in that study and wasn’t involved in its design, so I can’t speak to the specifics of their eligibility criteria or endpoints with authority. What I can say is that measuring outcomes in IRD trials is genuinely challenging. Many patients with advanced vision loss can’t read letters on a standard eye chart, so trials use other </w:t>
      </w:r>
      <w:proofErr w:type="gramStart"/>
      <w:r>
        <w:t>measures — things</w:t>
      </w:r>
      <w:proofErr w:type="gramEnd"/>
      <w:r>
        <w:t xml:space="preserve"> like the Berkeley Rudimentary Vision Test, or full-field stimulus testing, which measures light sensitivity rather than letter recognition. The choice of outcome measure shapes what the trial can detect, and there’s ongoing work in the field to standardize which measures are most meaningful for patients and most acceptable to regulators.</w:t>
      </w:r>
    </w:p>
    <w:p w14:paraId="23C8D800" w14:textId="77777777" w:rsidR="00AC6172" w:rsidRDefault="00AC6172" w:rsidP="00AC6172">
      <w:pPr>
        <w:spacing w:after="80"/>
      </w:pPr>
    </w:p>
    <w:p w14:paraId="6B1333CA" w14:textId="77777777" w:rsidR="00AC6172" w:rsidRPr="007A0129" w:rsidRDefault="00AC6172" w:rsidP="00AC6172">
      <w:pPr>
        <w:pStyle w:val="Heading2"/>
        <w:rPr>
          <w:sz w:val="32"/>
          <w:szCs w:val="32"/>
        </w:rPr>
      </w:pPr>
      <w:r w:rsidRPr="007A0129">
        <w:rPr>
          <w:sz w:val="32"/>
          <w:szCs w:val="32"/>
        </w:rPr>
        <w:t>Q&amp;A: Gene-Agnostic Therapies — The Future Direction?</w:t>
      </w:r>
    </w:p>
    <w:p w14:paraId="5AB6CAA3" w14:textId="77777777" w:rsidR="00AC6172" w:rsidRDefault="00AC6172" w:rsidP="00AC6172">
      <w:pPr>
        <w:spacing w:after="120"/>
      </w:pPr>
      <w:r>
        <w:rPr>
          <w:b/>
          <w:bCs/>
        </w:rPr>
        <w:t xml:space="preserve">Dr. Larissa Moniz: </w:t>
      </w:r>
      <w:r>
        <w:t xml:space="preserve">There’s a question about </w:t>
      </w:r>
      <w:proofErr w:type="spellStart"/>
      <w:r>
        <w:t>Nanoscope’s</w:t>
      </w:r>
      <w:proofErr w:type="spellEnd"/>
      <w:r>
        <w:t xml:space="preserve"> MCO-010 trial for RP, but the broader question is: do you think mutation-agnostic therapies could become a major direction for treating IRDs?</w:t>
      </w:r>
    </w:p>
    <w:p w14:paraId="3188AB9A" w14:textId="77777777" w:rsidR="00AC6172" w:rsidRDefault="00AC6172" w:rsidP="00AC6172">
      <w:pPr>
        <w:spacing w:after="120"/>
      </w:pPr>
      <w:r>
        <w:rPr>
          <w:b/>
          <w:bCs/>
        </w:rPr>
        <w:t xml:space="preserve">Dr. Brian Ballios: </w:t>
      </w:r>
      <w:r>
        <w:t>I hope so — that’s the short answer. Gene-agnostic approaches have the potential to help far more patients than gene-specific therapies, simply because you don’t need to know someone’s exact mutation for them to be eligible. Optogenetic approaches like MCO-010 are one example. Neuroprotective strategies are another. I follow those studies closely, and I’m hopeful that some of our own work in stem cells will also contribute gene-agnostic tools. The field is moving in that direction, and I think it’s the right one.</w:t>
      </w:r>
    </w:p>
    <w:p w14:paraId="632C0B5C" w14:textId="77777777" w:rsidR="00AC6172" w:rsidRDefault="00AC6172" w:rsidP="00AC6172">
      <w:pPr>
        <w:spacing w:after="80"/>
      </w:pPr>
    </w:p>
    <w:p w14:paraId="2BBCAF26" w14:textId="77777777" w:rsidR="00AC6172" w:rsidRPr="007A0129" w:rsidRDefault="00AC6172" w:rsidP="00AC6172">
      <w:pPr>
        <w:pStyle w:val="Heading2"/>
        <w:rPr>
          <w:sz w:val="32"/>
          <w:szCs w:val="32"/>
        </w:rPr>
      </w:pPr>
      <w:r w:rsidRPr="007A0129">
        <w:rPr>
          <w:sz w:val="32"/>
          <w:szCs w:val="32"/>
        </w:rPr>
        <w:t>Q&amp;A: Risk Factors for Progression</w:t>
      </w:r>
    </w:p>
    <w:p w14:paraId="00981FC6" w14:textId="77777777" w:rsidR="00AC6172" w:rsidRDefault="00AC6172" w:rsidP="00AC6172">
      <w:pPr>
        <w:spacing w:after="120"/>
      </w:pPr>
      <w:r>
        <w:rPr>
          <w:b/>
          <w:bCs/>
        </w:rPr>
        <w:t xml:space="preserve">Dr. Larissa Moniz: </w:t>
      </w:r>
      <w:r>
        <w:t xml:space="preserve">We had several questions about factors that might increase the risk of progression — things like having had a concussion, receiving corticosteroid injections, or taking certain supplements. Can you speak </w:t>
      </w:r>
      <w:proofErr w:type="gramStart"/>
      <w:r>
        <w:t>to</w:t>
      </w:r>
      <w:proofErr w:type="gramEnd"/>
      <w:r>
        <w:t xml:space="preserve"> this?</w:t>
      </w:r>
    </w:p>
    <w:p w14:paraId="67078FAC" w14:textId="77777777" w:rsidR="00AC6172" w:rsidRDefault="00AC6172" w:rsidP="00AC6172">
      <w:pPr>
        <w:spacing w:after="120"/>
      </w:pPr>
      <w:r>
        <w:rPr>
          <w:b/>
          <w:bCs/>
        </w:rPr>
        <w:t xml:space="preserve">Dr. Brian Ballios: </w:t>
      </w:r>
      <w:r>
        <w:t xml:space="preserve">For very specific scenarios, it’s genuinely difficult to give a definitive answer, because we often don’t have the data. What I can say broadly: trauma to the eye is never beneficial for the </w:t>
      </w:r>
      <w:proofErr w:type="gramStart"/>
      <w:r>
        <w:t>retina, and</w:t>
      </w:r>
      <w:proofErr w:type="gramEnd"/>
      <w:r>
        <w:t xml:space="preserve"> can cause complications. Certain medications injected into the eye — like corticosteroids — can have side effects, including effects on </w:t>
      </w:r>
      <w:r>
        <w:lastRenderedPageBreak/>
        <w:t>retinal health, and that’s worth discussing with your specialist if it’s relevant to your situation.</w:t>
      </w:r>
    </w:p>
    <w:p w14:paraId="281FA1CA" w14:textId="77777777" w:rsidR="00AC6172" w:rsidRDefault="00AC6172" w:rsidP="00AC6172">
      <w:pPr>
        <w:spacing w:after="120"/>
      </w:pPr>
      <w:r>
        <w:t xml:space="preserve">On supplements: this is an area where I </w:t>
      </w:r>
      <w:proofErr w:type="gramStart"/>
      <w:r>
        <w:t>have to</w:t>
      </w:r>
      <w:proofErr w:type="gramEnd"/>
      <w:r>
        <w:t xml:space="preserve"> be honest that we often don’t know. For specific gene mutations — ABCA4, which causes Stargardt disease, is one example — there are known interactions where certain vitamins can </w:t>
      </w:r>
      <w:proofErr w:type="gramStart"/>
      <w:r>
        <w:t>actually be</w:t>
      </w:r>
      <w:proofErr w:type="gramEnd"/>
      <w:r>
        <w:t xml:space="preserve"> harmful. High-dose vitamin A is one. For other conditions, there are things that might help, but the evidence is limited and the effects may be so long-term that they’re hard to measure in a standard clinical trial. My general position </w:t>
      </w:r>
      <w:proofErr w:type="gramStart"/>
      <w:r>
        <w:t>is:</w:t>
      </w:r>
      <w:proofErr w:type="gramEnd"/>
      <w:r>
        <w:t xml:space="preserve"> I want to know if something helps, and I also want to know if it harms. And for many supplements, we don’t have good answers to either question. Longer-term studies are underway that should help clarify this over time. Always discuss supplements with your IRD specialist before starting them.</w:t>
      </w:r>
    </w:p>
    <w:p w14:paraId="608E7B54" w14:textId="77777777" w:rsidR="00AC6172" w:rsidRDefault="00AC6172" w:rsidP="00AC6172">
      <w:pPr>
        <w:spacing w:after="80"/>
      </w:pPr>
    </w:p>
    <w:p w14:paraId="551E2127" w14:textId="77777777" w:rsidR="00AC6172" w:rsidRPr="007A0129" w:rsidRDefault="00AC6172" w:rsidP="00AC6172">
      <w:pPr>
        <w:pStyle w:val="Heading2"/>
        <w:rPr>
          <w:sz w:val="32"/>
          <w:szCs w:val="32"/>
        </w:rPr>
      </w:pPr>
      <w:r w:rsidRPr="007A0129">
        <w:rPr>
          <w:sz w:val="32"/>
          <w:szCs w:val="32"/>
        </w:rPr>
        <w:t>Closing — Expert Session</w:t>
      </w:r>
    </w:p>
    <w:p w14:paraId="7FEAB49F" w14:textId="77777777" w:rsidR="00AC6172" w:rsidRDefault="00AC6172" w:rsidP="00AC6172">
      <w:pPr>
        <w:spacing w:after="120"/>
      </w:pPr>
      <w:r>
        <w:rPr>
          <w:b/>
          <w:bCs/>
        </w:rPr>
        <w:t xml:space="preserve">Dr. Larissa Moniz: </w:t>
      </w:r>
      <w:r>
        <w:t>Thank you so much to Dr. Ballios — there were so many wonderful questions and I’m sorry we couldn’t get to all of them. If your question wasn’t addressed today, please reach out to our Health Information Line at healthinfo@fightingblindness.ca and we’ll do our best to help.</w:t>
      </w:r>
    </w:p>
    <w:p w14:paraId="6A2047B2" w14:textId="77777777" w:rsidR="00AC6172" w:rsidRDefault="00AC6172" w:rsidP="00AC6172">
      <w:pPr>
        <w:spacing w:after="120"/>
      </w:pPr>
      <w:r>
        <w:rPr>
          <w:b/>
          <w:bCs/>
        </w:rPr>
        <w:t xml:space="preserve">Dr. Brian Ballios: </w:t>
      </w:r>
      <w:r>
        <w:t>The pleasure is mine. Thank you, Larissa, for the invitation. There’s always a lot to discuss in this space, and I hope it was useful for everyone.</w:t>
      </w:r>
    </w:p>
    <w:p w14:paraId="736B7551" w14:textId="77777777" w:rsidR="00AC6172" w:rsidRDefault="00AC6172" w:rsidP="00AC6172">
      <w:pPr>
        <w:spacing w:after="80"/>
      </w:pPr>
    </w:p>
    <w:p w14:paraId="7C8095B7" w14:textId="77777777" w:rsidR="00AC6172" w:rsidRPr="00AB392B" w:rsidRDefault="00AC6172" w:rsidP="00AC6172">
      <w:pPr>
        <w:pStyle w:val="Heading1"/>
        <w:rPr>
          <w:sz w:val="36"/>
          <w:szCs w:val="36"/>
        </w:rPr>
      </w:pPr>
      <w:r w:rsidRPr="00AB392B">
        <w:rPr>
          <w:sz w:val="36"/>
          <w:szCs w:val="36"/>
        </w:rPr>
        <w:t>Community Connect: Facilitator Introductions</w:t>
      </w:r>
    </w:p>
    <w:p w14:paraId="6BFC7FE5" w14:textId="77777777" w:rsidR="00AC6172" w:rsidRDefault="00AC6172" w:rsidP="00AC6172">
      <w:pPr>
        <w:spacing w:after="120"/>
      </w:pPr>
      <w:r>
        <w:rPr>
          <w:b/>
          <w:bCs/>
        </w:rPr>
        <w:t xml:space="preserve">Dr. Larissa Moniz: </w:t>
      </w:r>
      <w:r>
        <w:t xml:space="preserve">We’ve now heard from a clinical expert, and we’re going to shift our focus to people with lived expertise in inherited retinal disease. I’ll hand things over to Ushany </w:t>
      </w:r>
      <w:proofErr w:type="spellStart"/>
      <w:r>
        <w:t>Kanagendiran</w:t>
      </w:r>
      <w:proofErr w:type="spellEnd"/>
      <w:r>
        <w:t>, our Senior Officer of Education and Engagement.</w:t>
      </w:r>
    </w:p>
    <w:p w14:paraId="50C35C1E" w14:textId="77777777" w:rsidR="00AC6172" w:rsidRDefault="00AC6172" w:rsidP="00AC6172">
      <w:pPr>
        <w:spacing w:after="80"/>
      </w:pPr>
    </w:p>
    <w:p w14:paraId="71B1C256" w14:textId="77777777" w:rsidR="00AC6172" w:rsidRDefault="00AC6172" w:rsidP="00AC6172">
      <w:pPr>
        <w:spacing w:after="120"/>
      </w:pPr>
      <w:r>
        <w:rPr>
          <w:b/>
          <w:bCs/>
        </w:rPr>
        <w:t xml:space="preserve">Ushany </w:t>
      </w:r>
      <w:proofErr w:type="spellStart"/>
      <w:r>
        <w:rPr>
          <w:b/>
          <w:bCs/>
        </w:rPr>
        <w:t>Kanagendiran</w:t>
      </w:r>
      <w:proofErr w:type="spellEnd"/>
      <w:r>
        <w:rPr>
          <w:b/>
          <w:bCs/>
        </w:rPr>
        <w:t xml:space="preserve">: </w:t>
      </w:r>
      <w:r>
        <w:t>Thank you, Larissa. In just a moment we’ll be moving into smaller Community Connect sessions, where you’ll have the opportunity to meet and engage with others living with an IRD, as well as family members. Today’s sessions will be facilitated by three wonderful community members. I’d like to invite each of them to introduce themselves briefly.</w:t>
      </w:r>
    </w:p>
    <w:p w14:paraId="4B795C78" w14:textId="77777777" w:rsidR="00AC6172" w:rsidRDefault="00AC6172" w:rsidP="00AC6172">
      <w:pPr>
        <w:spacing w:after="80"/>
      </w:pPr>
    </w:p>
    <w:p w14:paraId="09DD51EC" w14:textId="77777777" w:rsidR="00AC6172" w:rsidRPr="00AB392B" w:rsidRDefault="00AC6172" w:rsidP="00AC6172">
      <w:pPr>
        <w:pStyle w:val="Heading2"/>
        <w:rPr>
          <w:sz w:val="32"/>
          <w:szCs w:val="32"/>
        </w:rPr>
      </w:pPr>
      <w:r w:rsidRPr="00AB392B">
        <w:rPr>
          <w:sz w:val="32"/>
          <w:szCs w:val="32"/>
        </w:rPr>
        <w:t>Ellis Parsons</w:t>
      </w:r>
    </w:p>
    <w:p w14:paraId="2F2FDFF9" w14:textId="14D10D44" w:rsidR="00AC6172" w:rsidRDefault="00AC6172" w:rsidP="00AB392B">
      <w:pPr>
        <w:spacing w:after="120"/>
      </w:pPr>
      <w:r>
        <w:rPr>
          <w:b/>
          <w:bCs/>
        </w:rPr>
        <w:t xml:space="preserve">Ellis Parsons: </w:t>
      </w:r>
      <w:r>
        <w:t>Hi, everyone. My name is Ellis Parsons, my pronouns are he and they, and I’m the Acting Curriculum Developer for Access and Inclusion at the University of Victoria. My background is in psychology and education, and I bring a lived perspective on IRD to this work. I’m looking forward to the conversations in our session tonight.</w:t>
      </w:r>
    </w:p>
    <w:p w14:paraId="5AB02760" w14:textId="77777777" w:rsidR="00AC6172" w:rsidRPr="00AB392B" w:rsidRDefault="00AC6172" w:rsidP="00AC6172">
      <w:pPr>
        <w:pStyle w:val="Heading2"/>
        <w:rPr>
          <w:sz w:val="32"/>
          <w:szCs w:val="32"/>
        </w:rPr>
      </w:pPr>
      <w:r w:rsidRPr="00AB392B">
        <w:rPr>
          <w:sz w:val="32"/>
          <w:szCs w:val="32"/>
        </w:rPr>
        <w:t>Charmain Brown</w:t>
      </w:r>
    </w:p>
    <w:p w14:paraId="5B928C2F" w14:textId="780DFDCD" w:rsidR="00AC6172" w:rsidRDefault="00AC6172" w:rsidP="00AB392B">
      <w:pPr>
        <w:spacing w:after="120"/>
      </w:pPr>
      <w:r>
        <w:rPr>
          <w:b/>
          <w:bCs/>
        </w:rPr>
        <w:t xml:space="preserve">Charmain Brown: </w:t>
      </w:r>
      <w:r>
        <w:t>Good evening, everyone. My name is Charmain Brown. I’m an assistant professor at Tyndale University, where I have the privilege of teaching in the Bachelor of Education program — helping train the next generation of teachers. I’m also the mother of two incredible young people, both of whom live with an IRD. I come to this work with both a professional and a deeply personal perspective, and I’m looking forward to connecting with you tonight.</w:t>
      </w:r>
    </w:p>
    <w:p w14:paraId="2018BE11" w14:textId="77777777" w:rsidR="00AC6172" w:rsidRPr="00AB392B" w:rsidRDefault="00AC6172" w:rsidP="00AC6172">
      <w:pPr>
        <w:pStyle w:val="Heading2"/>
        <w:rPr>
          <w:sz w:val="32"/>
          <w:szCs w:val="32"/>
        </w:rPr>
      </w:pPr>
      <w:r w:rsidRPr="00AB392B">
        <w:rPr>
          <w:sz w:val="32"/>
          <w:szCs w:val="32"/>
        </w:rPr>
        <w:t>Donna Martin</w:t>
      </w:r>
    </w:p>
    <w:p w14:paraId="71D30EC1" w14:textId="0664A86A" w:rsidR="00AC6172" w:rsidRDefault="00AC6172" w:rsidP="00AB392B">
      <w:pPr>
        <w:spacing w:after="120"/>
      </w:pPr>
      <w:r>
        <w:rPr>
          <w:b/>
          <w:bCs/>
        </w:rPr>
        <w:t xml:space="preserve">Donna Martin: </w:t>
      </w:r>
      <w:r>
        <w:t xml:space="preserve">Hi, I’m Donna Cookson-Martin. If you were listening to Dr. Ballios and wondering how an 80-year-old ends up in the fourth year of a five-year genetic clinical trial in another country — come to my session, because that’s my story. I have been </w:t>
      </w:r>
      <w:proofErr w:type="gramStart"/>
      <w:r>
        <w:t>blind</w:t>
      </w:r>
      <w:proofErr w:type="gramEnd"/>
      <w:r>
        <w:t xml:space="preserve"> every day of my life, and I have a great deal to share about navigating this journey over many decades. I’m very much looking forward to our conversation.</w:t>
      </w:r>
    </w:p>
    <w:p w14:paraId="48E9E88A" w14:textId="77777777" w:rsidR="00AC6172" w:rsidRPr="00AB392B" w:rsidRDefault="00AC6172" w:rsidP="00AC6172">
      <w:pPr>
        <w:pStyle w:val="Heading2"/>
        <w:rPr>
          <w:sz w:val="32"/>
          <w:szCs w:val="32"/>
        </w:rPr>
      </w:pPr>
      <w:r w:rsidRPr="00AB392B">
        <w:rPr>
          <w:sz w:val="32"/>
          <w:szCs w:val="32"/>
        </w:rPr>
        <w:t>Closing Remarks</w:t>
      </w:r>
    </w:p>
    <w:p w14:paraId="508ADBA9" w14:textId="77777777" w:rsidR="00AC6172" w:rsidRDefault="00AC6172" w:rsidP="00AC6172">
      <w:pPr>
        <w:spacing w:after="120"/>
      </w:pPr>
      <w:r>
        <w:rPr>
          <w:b/>
          <w:bCs/>
        </w:rPr>
        <w:t xml:space="preserve">Ushany </w:t>
      </w:r>
      <w:proofErr w:type="spellStart"/>
      <w:r>
        <w:rPr>
          <w:b/>
          <w:bCs/>
        </w:rPr>
        <w:t>Kanagendiran</w:t>
      </w:r>
      <w:proofErr w:type="spellEnd"/>
      <w:r>
        <w:rPr>
          <w:b/>
          <w:bCs/>
        </w:rPr>
        <w:t xml:space="preserve">: </w:t>
      </w:r>
      <w:r>
        <w:t>Thank you so much to Ellis, Charmain, and Donna. We’re looking forward to hearing more from each of you in the Community Connect sessions.</w:t>
      </w:r>
    </w:p>
    <w:p w14:paraId="35C5F807" w14:textId="04E22573" w:rsidR="007C2A99" w:rsidRDefault="00AC6172" w:rsidP="00AB392B">
      <w:pPr>
        <w:spacing w:after="120"/>
      </w:pPr>
      <w:r>
        <w:rPr>
          <w:b/>
          <w:bCs/>
        </w:rPr>
        <w:t xml:space="preserve">Dr. Larissa Moniz: </w:t>
      </w:r>
      <w:r>
        <w:t>If your question wasn’t answered today, please reach out to our Health Information Line at healthinfo@fightingblindness.ca. We’re always working to improve these programs, and your feedback genuinely helps. Thank you everyone for joining us tonight.</w:t>
      </w:r>
    </w:p>
    <w:p w14:paraId="68ED7A99" w14:textId="77777777" w:rsidR="007C2A99" w:rsidRDefault="007C2A99" w:rsidP="00B418FC"/>
    <w:p w14:paraId="32FE4D9C" w14:textId="77777777" w:rsidR="007C2A99" w:rsidRDefault="007C2A99" w:rsidP="00B418FC">
      <w:pPr>
        <w:rPr>
          <w:rStyle w:val="Hyperlink"/>
        </w:rPr>
      </w:pPr>
    </w:p>
    <w:sectPr w:rsidR="007C2A99" w:rsidSect="00D8077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216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E2754" w14:textId="77777777" w:rsidR="00046787" w:rsidRDefault="00046787" w:rsidP="00B418FC">
      <w:r>
        <w:separator/>
      </w:r>
    </w:p>
  </w:endnote>
  <w:endnote w:type="continuationSeparator" w:id="0">
    <w:p w14:paraId="17F80C53" w14:textId="77777777" w:rsidR="00046787" w:rsidRDefault="00046787" w:rsidP="00B41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6003220"/>
      <w:docPartObj>
        <w:docPartGallery w:val="Page Numbers (Bottom of Page)"/>
        <w:docPartUnique/>
      </w:docPartObj>
    </w:sdtPr>
    <w:sdtEndPr>
      <w:rPr>
        <w:rStyle w:val="PageNumber"/>
      </w:rPr>
    </w:sdtEndPr>
    <w:sdtContent>
      <w:p w14:paraId="761A1492" w14:textId="77777777" w:rsidR="00853BE8" w:rsidRDefault="00853BE8" w:rsidP="007F30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194186D" w14:textId="77777777" w:rsidR="00853BE8" w:rsidRDefault="00853BE8" w:rsidP="00853B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DD540" w14:textId="77777777" w:rsidR="0046116C" w:rsidRPr="00D80772" w:rsidRDefault="00D80772" w:rsidP="00853BE8">
    <w:pPr>
      <w:pStyle w:val="Footer"/>
      <w:ind w:right="360"/>
      <w:rPr>
        <w:color w:val="1D6232"/>
      </w:rPr>
    </w:pPr>
    <w:r>
      <mc:AlternateContent>
        <mc:Choice Requires="wps">
          <w:drawing>
            <wp:anchor distT="4294967295" distB="4294967295" distL="114300" distR="114300" simplePos="0" relativeHeight="251641856" behindDoc="0" locked="0" layoutInCell="1" allowOverlap="1" wp14:anchorId="5FDE655C" wp14:editId="29906283">
              <wp:simplePos x="0" y="0"/>
              <wp:positionH relativeFrom="column">
                <wp:posOffset>0</wp:posOffset>
              </wp:positionH>
              <wp:positionV relativeFrom="paragraph">
                <wp:posOffset>126364</wp:posOffset>
              </wp:positionV>
              <wp:extent cx="5963920" cy="0"/>
              <wp:effectExtent l="0" t="0" r="5080" b="0"/>
              <wp:wrapNone/>
              <wp:docPr id="113712096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63920" cy="0"/>
                      </a:xfrm>
                      <a:prstGeom prst="line">
                        <a:avLst/>
                      </a:prstGeom>
                      <a:noFill/>
                      <a:ln w="6350" cap="flat" cmpd="sng" algn="ctr">
                        <a:solidFill>
                          <a:srgbClr val="FF46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D5338EE" id="Straight Connector 4" o:spid="_x0000_s1026" style="position:absolute;z-index:251641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95pt" to="469.6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" strokecolor="#ff4600" strokeweight=".5pt">
              <v:stroke joinstyle="miter"/>
              <o:lock v:ext="edit" shapetype="f"/>
            </v:line>
          </w:pict>
        </mc:Fallback>
      </mc:AlternateContent>
    </w:r>
  </w:p>
  <w:sdt>
    <w:sdtPr>
      <w:rPr>
        <w:rStyle w:val="PageNumber"/>
      </w:rPr>
      <w:id w:val="1360239743"/>
      <w:docPartObj>
        <w:docPartGallery w:val="Page Numbers (Bottom of Page)"/>
        <w:docPartUnique/>
      </w:docPartObj>
    </w:sdtPr>
    <w:sdtEndPr>
      <w:rPr>
        <w:rStyle w:val="PageNumber"/>
        <w:color w:val="1D6232" w:themeColor="accent1"/>
      </w:rPr>
    </w:sdtEndPr>
    <w:sdtContent>
      <w:p w14:paraId="614AD323" w14:textId="77777777" w:rsidR="00853BE8" w:rsidRPr="00853BE8" w:rsidRDefault="00853BE8" w:rsidP="00A52E97">
        <w:pPr>
          <w:pStyle w:val="Footer"/>
          <w:framePr w:w="357" w:h="717" w:hRule="exact" w:wrap="none" w:vAnchor="text" w:hAnchor="page" w:x="10441" w:y="33"/>
          <w:jc w:val="center"/>
          <w:rPr>
            <w:rStyle w:val="PageNumber"/>
            <w:color w:val="1D6232" w:themeColor="accent1"/>
          </w:rPr>
        </w:pPr>
        <w:r w:rsidRPr="00853BE8">
          <w:rPr>
            <w:rStyle w:val="PageNumber"/>
            <w:color w:val="1D6232" w:themeColor="accent1"/>
          </w:rPr>
          <w:fldChar w:fldCharType="begin"/>
        </w:r>
        <w:r w:rsidRPr="00853BE8">
          <w:rPr>
            <w:rStyle w:val="PageNumber"/>
            <w:color w:val="1D6232" w:themeColor="accent1"/>
          </w:rPr>
          <w:instrText xml:space="preserve"> PAGE </w:instrText>
        </w:r>
        <w:r w:rsidRPr="00853BE8">
          <w:rPr>
            <w:rStyle w:val="PageNumber"/>
            <w:color w:val="1D6232" w:themeColor="accent1"/>
          </w:rPr>
          <w:fldChar w:fldCharType="separate"/>
        </w:r>
        <w:r w:rsidRPr="00853BE8">
          <w:rPr>
            <w:rStyle w:val="PageNumber"/>
            <w:color w:val="1D6232" w:themeColor="accent1"/>
          </w:rPr>
          <w:t>1</w:t>
        </w:r>
        <w:r w:rsidRPr="00853BE8">
          <w:rPr>
            <w:rStyle w:val="PageNumber"/>
            <w:color w:val="1D6232" w:themeColor="accent1"/>
          </w:rPr>
          <w:fldChar w:fldCharType="end"/>
        </w:r>
      </w:p>
    </w:sdtContent>
  </w:sdt>
  <w:p w14:paraId="0E92CC38" w14:textId="77777777" w:rsidR="0046116C" w:rsidRPr="00B418FC" w:rsidRDefault="0046116C" w:rsidP="00B418FC">
    <w:pPr>
      <w:pStyle w:val="Footer"/>
      <w:spacing w:before="0" w:beforeAutospacing="0" w:after="0" w:afterAutospacing="0"/>
      <w:rPr>
        <w:color w:val="00236D" w:themeColor="text1"/>
      </w:rPr>
    </w:pPr>
    <w:r w:rsidRPr="00B418FC">
      <w:rPr>
        <w:color w:val="00236D" w:themeColor="text1"/>
      </w:rPr>
      <w:t>Charitable Registration Number: 119129369 RR0001</w:t>
    </w:r>
  </w:p>
  <w:p w14:paraId="30B14667" w14:textId="77777777" w:rsidR="0046116C" w:rsidRPr="00B418FC" w:rsidRDefault="0046116C" w:rsidP="00B418FC">
    <w:pPr>
      <w:pStyle w:val="Footer"/>
      <w:spacing w:before="0" w:beforeAutospacing="0" w:after="0" w:afterAutospacing="0"/>
      <w:rPr>
        <w:color w:val="00236D" w:themeColor="text1"/>
      </w:rPr>
    </w:pPr>
    <w:r w:rsidRPr="00B418FC">
      <w:rPr>
        <w:color w:val="00236D" w:themeColor="text1"/>
      </w:rPr>
      <w:t>890 Yonge Street, 12th Floor, Toronto, Ontario, M4W 3P4</w:t>
    </w:r>
  </w:p>
  <w:p w14:paraId="1BE6B0E4" w14:textId="77777777" w:rsidR="0046116C" w:rsidRPr="00D80772" w:rsidRDefault="0046116C" w:rsidP="00B418FC">
    <w:pPr>
      <w:pStyle w:val="Footer"/>
      <w:spacing w:before="0" w:beforeAutospacing="0"/>
      <w:rPr>
        <w:b/>
        <w:bCs/>
      </w:rPr>
    </w:pPr>
    <w:r w:rsidRPr="00B418FC">
      <w:rPr>
        <w:b/>
        <w:bCs/>
        <w:color w:val="00236D" w:themeColor="text1"/>
      </w:rPr>
      <w:t xml:space="preserve">1-800-461-3331 </w:t>
    </w:r>
    <w:r w:rsidRPr="00D80772">
      <w:rPr>
        <w:b/>
        <w:bCs/>
        <w:color w:val="FF4600"/>
      </w:rPr>
      <w:t xml:space="preserve">· </w:t>
    </w:r>
    <w:hyperlink r:id="rId1" w:history="1">
      <w:r w:rsidRPr="00D80772">
        <w:rPr>
          <w:rStyle w:val="Hyperlink"/>
          <w:b/>
          <w:bCs/>
          <w:color w:val="00236D"/>
          <w:u w:val="none"/>
        </w:rPr>
        <w:t>info@fightingblindness.ca</w:t>
      </w:r>
    </w:hyperlink>
    <w:r w:rsidRPr="00D80772">
      <w:rPr>
        <w:b/>
        <w:bCs/>
        <w:color w:val="FF4600"/>
      </w:rPr>
      <w:t xml:space="preserve"> · </w:t>
    </w:r>
    <w:hyperlink r:id="rId2" w:history="1">
      <w:r w:rsidRPr="00D80772">
        <w:rPr>
          <w:rStyle w:val="Hyperlink"/>
          <w:b/>
          <w:bCs/>
          <w:color w:val="00236D"/>
          <w:u w:val="none"/>
        </w:rPr>
        <w:t>fightingblindness.ca</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3F74B" w14:textId="77777777" w:rsidR="00A52E97" w:rsidRDefault="00A52E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5E4FC" w14:textId="77777777" w:rsidR="00046787" w:rsidRDefault="00046787" w:rsidP="00B418FC">
      <w:r>
        <w:separator/>
      </w:r>
    </w:p>
  </w:footnote>
  <w:footnote w:type="continuationSeparator" w:id="0">
    <w:p w14:paraId="361E9C03" w14:textId="77777777" w:rsidR="00046787" w:rsidRDefault="00046787" w:rsidP="00B41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2B12E" w14:textId="77777777" w:rsidR="00A52E97" w:rsidRDefault="00A52E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1926D" w14:textId="77777777" w:rsidR="00A32281" w:rsidRDefault="00087B3C" w:rsidP="00B418FC">
    <w:r>
      <w:rPr>
        <w:noProof/>
      </w:rPr>
      <w:drawing>
        <wp:anchor distT="0" distB="0" distL="114300" distR="114300" simplePos="0" relativeHeight="251659264" behindDoc="1" locked="0" layoutInCell="1" allowOverlap="1" wp14:anchorId="7D3E4ED2" wp14:editId="1CDA8550">
          <wp:simplePos x="0" y="0"/>
          <wp:positionH relativeFrom="column">
            <wp:posOffset>-253760</wp:posOffset>
          </wp:positionH>
          <wp:positionV relativeFrom="paragraph">
            <wp:posOffset>-988695</wp:posOffset>
          </wp:positionV>
          <wp:extent cx="2582614" cy="1371600"/>
          <wp:effectExtent l="0" t="0" r="0" b="0"/>
          <wp:wrapNone/>
          <wp:docPr id="4033414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41446" name="Picture 403341446"/>
                  <pic:cNvPicPr/>
                </pic:nvPicPr>
                <pic:blipFill>
                  <a:blip r:embed="rId1"/>
                  <a:stretch>
                    <a:fillRect/>
                  </a:stretch>
                </pic:blipFill>
                <pic:spPr>
                  <a:xfrm>
                    <a:off x="0" y="0"/>
                    <a:ext cx="2582614" cy="1371600"/>
                  </a:xfrm>
                  <a:prstGeom prst="rect">
                    <a:avLst/>
                  </a:prstGeom>
                </pic:spPr>
              </pic:pic>
            </a:graphicData>
          </a:graphic>
          <wp14:sizeRelH relativeFrom="page">
            <wp14:pctWidth>0</wp14:pctWidth>
          </wp14:sizeRelH>
          <wp14:sizeRelV relativeFrom="page">
            <wp14:pctHeight>0</wp14:pctHeight>
          </wp14:sizeRelV>
        </wp:anchor>
      </w:drawing>
    </w:r>
  </w:p>
  <w:p w14:paraId="40EB5037" w14:textId="77777777" w:rsidR="00A32281" w:rsidRDefault="00A32281" w:rsidP="00B418F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300FC" w14:textId="77777777" w:rsidR="00A52E97" w:rsidRDefault="00A52E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193B"/>
    <w:multiLevelType w:val="hybridMultilevel"/>
    <w:tmpl w:val="0FDCBA52"/>
    <w:lvl w:ilvl="0" w:tplc="FE3AA554">
      <w:start w:val="1"/>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DBF06FC"/>
    <w:multiLevelType w:val="hybridMultilevel"/>
    <w:tmpl w:val="68329CF8"/>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4C91B4E"/>
    <w:multiLevelType w:val="hybridMultilevel"/>
    <w:tmpl w:val="2E4C7D06"/>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D4D3F6E"/>
    <w:multiLevelType w:val="hybridMultilevel"/>
    <w:tmpl w:val="54A00C44"/>
    <w:lvl w:ilvl="0" w:tplc="9BF48186">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F85696E"/>
    <w:multiLevelType w:val="hybridMultilevel"/>
    <w:tmpl w:val="BA666E54"/>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6AF486B"/>
    <w:multiLevelType w:val="multilevel"/>
    <w:tmpl w:val="E5EC3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4565E5"/>
    <w:multiLevelType w:val="hybridMultilevel"/>
    <w:tmpl w:val="29D6679A"/>
    <w:lvl w:ilvl="0" w:tplc="7A6CE808">
      <w:start w:val="1"/>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D066B79"/>
    <w:multiLevelType w:val="hybridMultilevel"/>
    <w:tmpl w:val="B7943A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0E03F10"/>
    <w:multiLevelType w:val="hybridMultilevel"/>
    <w:tmpl w:val="9D462B2E"/>
    <w:lvl w:ilvl="0" w:tplc="8CD4428E">
      <w:start w:val="1"/>
      <w:numFmt w:val="bullet"/>
      <w:lvlText w:val="-"/>
      <w:lvlJc w:val="left"/>
      <w:pPr>
        <w:ind w:left="1800" w:hanging="360"/>
      </w:pPr>
      <w:rPr>
        <w:rFonts w:ascii="Calibri" w:eastAsia="Calibr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404149D2"/>
    <w:multiLevelType w:val="hybridMultilevel"/>
    <w:tmpl w:val="73DC4F48"/>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4CD2407"/>
    <w:multiLevelType w:val="hybridMultilevel"/>
    <w:tmpl w:val="6020446E"/>
    <w:lvl w:ilvl="0" w:tplc="0409000F">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BEC5B3B"/>
    <w:multiLevelType w:val="hybridMultilevel"/>
    <w:tmpl w:val="79F08C28"/>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4E282190"/>
    <w:multiLevelType w:val="hybridMultilevel"/>
    <w:tmpl w:val="F8AEBD30"/>
    <w:lvl w:ilvl="0" w:tplc="2A7E8340">
      <w:start w:val="1"/>
      <w:numFmt w:val="decimal"/>
      <w:lvlText w:val="%1."/>
      <w:lvlJc w:val="left"/>
      <w:pPr>
        <w:ind w:left="720" w:hanging="360"/>
      </w:pPr>
      <w:rPr>
        <w:rFonts w:hint="default"/>
        <w:color w:val="FF460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 w15:restartNumberingAfterBreak="0">
    <w:nsid w:val="53F34771"/>
    <w:multiLevelType w:val="hybridMultilevel"/>
    <w:tmpl w:val="DF7ADA18"/>
    <w:lvl w:ilvl="0" w:tplc="8CD4428E">
      <w:start w:val="1"/>
      <w:numFmt w:val="bullet"/>
      <w:lvlText w:val="-"/>
      <w:lvlJc w:val="left"/>
      <w:pPr>
        <w:ind w:left="360" w:hanging="360"/>
      </w:pPr>
      <w:rPr>
        <w:rFonts w:ascii="Calibri" w:eastAsia="Calibr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20"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21"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1005ED7"/>
    <w:multiLevelType w:val="hybridMultilevel"/>
    <w:tmpl w:val="62548F80"/>
    <w:lvl w:ilvl="0" w:tplc="1F8EDF28">
      <w:start w:val="1"/>
      <w:numFmt w:val="bullet"/>
      <w:lvlText w:val=""/>
      <w:lvlJc w:val="left"/>
      <w:pPr>
        <w:ind w:left="720" w:hanging="360"/>
      </w:pPr>
      <w:rPr>
        <w:rFonts w:ascii="Symbol" w:hAnsi="Symbol" w:hint="default"/>
        <w:color w:val="FF46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EF2549"/>
    <w:multiLevelType w:val="multilevel"/>
    <w:tmpl w:val="3E1C1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Calibr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num w:numId="1" w16cid:durableId="359938888">
    <w:abstractNumId w:val="10"/>
  </w:num>
  <w:num w:numId="2" w16cid:durableId="2058046269">
    <w:abstractNumId w:val="11"/>
  </w:num>
  <w:num w:numId="3" w16cid:durableId="2062436532">
    <w:abstractNumId w:val="19"/>
  </w:num>
  <w:num w:numId="4" w16cid:durableId="189340715">
    <w:abstractNumId w:val="20"/>
  </w:num>
  <w:num w:numId="5" w16cid:durableId="433019725">
    <w:abstractNumId w:val="3"/>
  </w:num>
  <w:num w:numId="6" w16cid:durableId="1342703354">
    <w:abstractNumId w:val="16"/>
  </w:num>
  <w:num w:numId="7" w16cid:durableId="1079517115">
    <w:abstractNumId w:val="6"/>
  </w:num>
  <w:num w:numId="8" w16cid:durableId="502400854">
    <w:abstractNumId w:val="13"/>
  </w:num>
  <w:num w:numId="9" w16cid:durableId="992174072">
    <w:abstractNumId w:val="0"/>
  </w:num>
  <w:num w:numId="10" w16cid:durableId="752974009">
    <w:abstractNumId w:val="22"/>
  </w:num>
  <w:num w:numId="11" w16cid:durableId="2069724314">
    <w:abstractNumId w:val="8"/>
  </w:num>
  <w:num w:numId="12" w16cid:durableId="7013966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53234546">
    <w:abstractNumId w:val="4"/>
  </w:num>
  <w:num w:numId="14" w16cid:durableId="425613937">
    <w:abstractNumId w:val="21"/>
  </w:num>
  <w:num w:numId="15" w16cid:durableId="1990866201">
    <w:abstractNumId w:val="25"/>
  </w:num>
  <w:num w:numId="16" w16cid:durableId="1383670213">
    <w:abstractNumId w:val="26"/>
  </w:num>
  <w:num w:numId="17" w16cid:durableId="375155094">
    <w:abstractNumId w:val="24"/>
  </w:num>
  <w:num w:numId="18" w16cid:durableId="1210798222">
    <w:abstractNumId w:val="18"/>
  </w:num>
  <w:num w:numId="19" w16cid:durableId="1031297829">
    <w:abstractNumId w:val="23"/>
  </w:num>
  <w:num w:numId="20" w16cid:durableId="498430387">
    <w:abstractNumId w:val="12"/>
  </w:num>
  <w:num w:numId="21" w16cid:durableId="616326858">
    <w:abstractNumId w:val="2"/>
  </w:num>
  <w:num w:numId="22" w16cid:durableId="1479610236">
    <w:abstractNumId w:val="7"/>
  </w:num>
  <w:num w:numId="23" w16cid:durableId="2021346343">
    <w:abstractNumId w:val="15"/>
  </w:num>
  <w:num w:numId="24" w16cid:durableId="1787390016">
    <w:abstractNumId w:val="9"/>
  </w:num>
  <w:num w:numId="25" w16cid:durableId="329675567">
    <w:abstractNumId w:val="5"/>
  </w:num>
  <w:num w:numId="26" w16cid:durableId="1063024717">
    <w:abstractNumId w:val="17"/>
  </w:num>
  <w:num w:numId="27" w16cid:durableId="741684675">
    <w:abstractNumId w:val="1"/>
  </w:num>
  <w:num w:numId="28" w16cid:durableId="118679341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A99"/>
    <w:rsid w:val="00037B08"/>
    <w:rsid w:val="00044889"/>
    <w:rsid w:val="00046787"/>
    <w:rsid w:val="00057A34"/>
    <w:rsid w:val="00065146"/>
    <w:rsid w:val="00087B3C"/>
    <w:rsid w:val="000918B0"/>
    <w:rsid w:val="00096A45"/>
    <w:rsid w:val="000B1565"/>
    <w:rsid w:val="000B1577"/>
    <w:rsid w:val="000F172D"/>
    <w:rsid w:val="00110431"/>
    <w:rsid w:val="001141E1"/>
    <w:rsid w:val="0012017E"/>
    <w:rsid w:val="001253DA"/>
    <w:rsid w:val="0013730F"/>
    <w:rsid w:val="00147910"/>
    <w:rsid w:val="001579AD"/>
    <w:rsid w:val="00157CDF"/>
    <w:rsid w:val="001649DA"/>
    <w:rsid w:val="00171112"/>
    <w:rsid w:val="0017287D"/>
    <w:rsid w:val="0018104B"/>
    <w:rsid w:val="0019303D"/>
    <w:rsid w:val="001A2947"/>
    <w:rsid w:val="001A5500"/>
    <w:rsid w:val="001D5740"/>
    <w:rsid w:val="001D5FDE"/>
    <w:rsid w:val="001F2A6A"/>
    <w:rsid w:val="001F2BC9"/>
    <w:rsid w:val="001F4409"/>
    <w:rsid w:val="001F7004"/>
    <w:rsid w:val="00220158"/>
    <w:rsid w:val="002203C7"/>
    <w:rsid w:val="00242CF0"/>
    <w:rsid w:val="0025621B"/>
    <w:rsid w:val="00256D60"/>
    <w:rsid w:val="00274757"/>
    <w:rsid w:val="00274F98"/>
    <w:rsid w:val="00275BC8"/>
    <w:rsid w:val="002948C6"/>
    <w:rsid w:val="002B3091"/>
    <w:rsid w:val="002D15FA"/>
    <w:rsid w:val="002D3674"/>
    <w:rsid w:val="00312843"/>
    <w:rsid w:val="00320989"/>
    <w:rsid w:val="00325F30"/>
    <w:rsid w:val="00325F88"/>
    <w:rsid w:val="00332997"/>
    <w:rsid w:val="00337CCE"/>
    <w:rsid w:val="00343306"/>
    <w:rsid w:val="00367A46"/>
    <w:rsid w:val="00377AA3"/>
    <w:rsid w:val="00387DCF"/>
    <w:rsid w:val="00390601"/>
    <w:rsid w:val="003927FB"/>
    <w:rsid w:val="00395FA4"/>
    <w:rsid w:val="003E1D0C"/>
    <w:rsid w:val="003E32A9"/>
    <w:rsid w:val="003E341A"/>
    <w:rsid w:val="003E527B"/>
    <w:rsid w:val="00413270"/>
    <w:rsid w:val="004334A7"/>
    <w:rsid w:val="00434AD3"/>
    <w:rsid w:val="00443F5B"/>
    <w:rsid w:val="0046116C"/>
    <w:rsid w:val="004645B9"/>
    <w:rsid w:val="00472AD5"/>
    <w:rsid w:val="00483A73"/>
    <w:rsid w:val="004A58C1"/>
    <w:rsid w:val="004B7D7F"/>
    <w:rsid w:val="004D1E63"/>
    <w:rsid w:val="00513689"/>
    <w:rsid w:val="00526E2B"/>
    <w:rsid w:val="00556113"/>
    <w:rsid w:val="005628FF"/>
    <w:rsid w:val="005E60E6"/>
    <w:rsid w:val="0063017D"/>
    <w:rsid w:val="00645141"/>
    <w:rsid w:val="00660794"/>
    <w:rsid w:val="00661C9D"/>
    <w:rsid w:val="00683FC0"/>
    <w:rsid w:val="006A189F"/>
    <w:rsid w:val="006A2CA9"/>
    <w:rsid w:val="006C35EE"/>
    <w:rsid w:val="006E0FA0"/>
    <w:rsid w:val="006E271D"/>
    <w:rsid w:val="006E372F"/>
    <w:rsid w:val="00705596"/>
    <w:rsid w:val="007125D2"/>
    <w:rsid w:val="00741192"/>
    <w:rsid w:val="0078332D"/>
    <w:rsid w:val="00792F4D"/>
    <w:rsid w:val="007A0129"/>
    <w:rsid w:val="007A1D78"/>
    <w:rsid w:val="007C2A99"/>
    <w:rsid w:val="007E2525"/>
    <w:rsid w:val="007F3381"/>
    <w:rsid w:val="007F5B30"/>
    <w:rsid w:val="00826199"/>
    <w:rsid w:val="00840C2F"/>
    <w:rsid w:val="0084118E"/>
    <w:rsid w:val="008475E1"/>
    <w:rsid w:val="0085042B"/>
    <w:rsid w:val="00853BE8"/>
    <w:rsid w:val="008558BA"/>
    <w:rsid w:val="008822EF"/>
    <w:rsid w:val="00883DD2"/>
    <w:rsid w:val="00887BD0"/>
    <w:rsid w:val="008C4F9B"/>
    <w:rsid w:val="008E6DC2"/>
    <w:rsid w:val="008F0DB3"/>
    <w:rsid w:val="008F1906"/>
    <w:rsid w:val="008F1F1B"/>
    <w:rsid w:val="00901FA0"/>
    <w:rsid w:val="00912038"/>
    <w:rsid w:val="00915701"/>
    <w:rsid w:val="009320D7"/>
    <w:rsid w:val="0093425A"/>
    <w:rsid w:val="0094417D"/>
    <w:rsid w:val="00954EAD"/>
    <w:rsid w:val="00971AA0"/>
    <w:rsid w:val="00972D27"/>
    <w:rsid w:val="00975BFD"/>
    <w:rsid w:val="00992065"/>
    <w:rsid w:val="009C470C"/>
    <w:rsid w:val="009D584D"/>
    <w:rsid w:val="009E2DAB"/>
    <w:rsid w:val="00A01A44"/>
    <w:rsid w:val="00A32281"/>
    <w:rsid w:val="00A33B0A"/>
    <w:rsid w:val="00A52E97"/>
    <w:rsid w:val="00A71837"/>
    <w:rsid w:val="00A77884"/>
    <w:rsid w:val="00A80D63"/>
    <w:rsid w:val="00A82376"/>
    <w:rsid w:val="00AB392B"/>
    <w:rsid w:val="00AC60CF"/>
    <w:rsid w:val="00AC6172"/>
    <w:rsid w:val="00AE6D47"/>
    <w:rsid w:val="00AF03CD"/>
    <w:rsid w:val="00B34376"/>
    <w:rsid w:val="00B418FC"/>
    <w:rsid w:val="00B444AD"/>
    <w:rsid w:val="00B447EE"/>
    <w:rsid w:val="00B5404C"/>
    <w:rsid w:val="00B71D8B"/>
    <w:rsid w:val="00BE07CC"/>
    <w:rsid w:val="00BE1043"/>
    <w:rsid w:val="00BE7F74"/>
    <w:rsid w:val="00BF20EE"/>
    <w:rsid w:val="00BF41AB"/>
    <w:rsid w:val="00C13AD5"/>
    <w:rsid w:val="00C22B92"/>
    <w:rsid w:val="00C27074"/>
    <w:rsid w:val="00C3599B"/>
    <w:rsid w:val="00C43B8B"/>
    <w:rsid w:val="00C47898"/>
    <w:rsid w:val="00C5100D"/>
    <w:rsid w:val="00C6427D"/>
    <w:rsid w:val="00CA35A6"/>
    <w:rsid w:val="00CB1F7E"/>
    <w:rsid w:val="00CC4739"/>
    <w:rsid w:val="00CC5FCC"/>
    <w:rsid w:val="00CE00CD"/>
    <w:rsid w:val="00CF1AE5"/>
    <w:rsid w:val="00CF53C9"/>
    <w:rsid w:val="00CF777C"/>
    <w:rsid w:val="00D03C36"/>
    <w:rsid w:val="00D06D54"/>
    <w:rsid w:val="00D14A1F"/>
    <w:rsid w:val="00D1532E"/>
    <w:rsid w:val="00D40C22"/>
    <w:rsid w:val="00D559E5"/>
    <w:rsid w:val="00D71DEC"/>
    <w:rsid w:val="00D80772"/>
    <w:rsid w:val="00D903E4"/>
    <w:rsid w:val="00D91F4D"/>
    <w:rsid w:val="00DA31FD"/>
    <w:rsid w:val="00DA5B2D"/>
    <w:rsid w:val="00DB3FC5"/>
    <w:rsid w:val="00DB5461"/>
    <w:rsid w:val="00DF0AB4"/>
    <w:rsid w:val="00E05BAE"/>
    <w:rsid w:val="00E077D5"/>
    <w:rsid w:val="00E26661"/>
    <w:rsid w:val="00E417D4"/>
    <w:rsid w:val="00E44181"/>
    <w:rsid w:val="00E56B24"/>
    <w:rsid w:val="00E56EE5"/>
    <w:rsid w:val="00E83EED"/>
    <w:rsid w:val="00E86A6B"/>
    <w:rsid w:val="00EA7F08"/>
    <w:rsid w:val="00EB1786"/>
    <w:rsid w:val="00ED13C3"/>
    <w:rsid w:val="00EF70FE"/>
    <w:rsid w:val="00F00D2D"/>
    <w:rsid w:val="00F2630E"/>
    <w:rsid w:val="00F45736"/>
    <w:rsid w:val="00F568FF"/>
    <w:rsid w:val="00F637E4"/>
    <w:rsid w:val="00F676F0"/>
    <w:rsid w:val="00F7717C"/>
    <w:rsid w:val="00F92DC7"/>
    <w:rsid w:val="00F95EA9"/>
    <w:rsid w:val="00FA70D8"/>
    <w:rsid w:val="00FC5C80"/>
    <w:rsid w:val="00FD48CF"/>
    <w:rsid w:val="00FD7309"/>
    <w:rsid w:val="00FF2092"/>
    <w:rsid w:val="4928AD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7E3F7C"/>
  <w15:chartTrackingRefBased/>
  <w15:docId w15:val="{33F70C59-4D13-4309-AAE6-501EDB63B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172"/>
    <w:rPr>
      <w:rFonts w:ascii="Arial" w:eastAsia="Arial" w:hAnsi="Arial" w:cs="Arial"/>
      <w:sz w:val="24"/>
      <w:szCs w:val="24"/>
      <w:lang w:val="en-US"/>
    </w:rPr>
  </w:style>
  <w:style w:type="paragraph" w:styleId="Heading1">
    <w:name w:val="heading 1"/>
    <w:basedOn w:val="Normal"/>
    <w:next w:val="Normal"/>
    <w:link w:val="Heading1Char"/>
    <w:uiPriority w:val="9"/>
    <w:qFormat/>
    <w:rsid w:val="00B418FC"/>
    <w:pPr>
      <w:keepNext/>
      <w:keepLines/>
      <w:spacing w:before="240" w:beforeAutospacing="1" w:after="100" w:afterAutospacing="1"/>
      <w:outlineLvl w:val="0"/>
    </w:pPr>
    <w:rPr>
      <w:rFonts w:eastAsia="Times New Roman"/>
      <w:b/>
      <w:bCs/>
      <w:caps/>
      <w:color w:val="00236D" w:themeColor="text1"/>
      <w:sz w:val="56"/>
      <w:szCs w:val="56"/>
      <w:lang w:val="en-CA"/>
    </w:rPr>
  </w:style>
  <w:style w:type="paragraph" w:styleId="Heading2">
    <w:name w:val="heading 2"/>
    <w:basedOn w:val="Normal"/>
    <w:next w:val="Normal"/>
    <w:link w:val="Heading2Char"/>
    <w:uiPriority w:val="9"/>
    <w:unhideWhenUsed/>
    <w:qFormat/>
    <w:rsid w:val="00325F30"/>
    <w:pPr>
      <w:keepNext/>
      <w:keepLines/>
      <w:spacing w:before="40" w:beforeAutospacing="1" w:after="100" w:afterAutospacing="1"/>
      <w:outlineLvl w:val="1"/>
    </w:pPr>
    <w:rPr>
      <w:rFonts w:eastAsia="Times New Roman"/>
      <w:b/>
      <w:bCs/>
      <w:color w:val="288844"/>
      <w:sz w:val="40"/>
      <w:szCs w:val="40"/>
      <w:lang w:val="en-CA"/>
    </w:rPr>
  </w:style>
  <w:style w:type="paragraph" w:styleId="Heading3">
    <w:name w:val="heading 3"/>
    <w:basedOn w:val="Normal"/>
    <w:next w:val="Normal"/>
    <w:link w:val="Heading3Char"/>
    <w:uiPriority w:val="9"/>
    <w:unhideWhenUsed/>
    <w:qFormat/>
    <w:rsid w:val="00325F30"/>
    <w:pPr>
      <w:keepNext/>
      <w:keepLines/>
      <w:spacing w:before="40" w:beforeAutospacing="1" w:after="100" w:afterAutospacing="1"/>
      <w:outlineLvl w:val="2"/>
    </w:pPr>
    <w:rPr>
      <w:rFonts w:eastAsia="Times New Roman" w:cs="Times New Roman"/>
      <w:b/>
      <w:color w:val="000000"/>
      <w:sz w:val="28"/>
      <w:szCs w:val="28"/>
      <w:lang w:val="en-CA"/>
    </w:rPr>
  </w:style>
  <w:style w:type="paragraph" w:styleId="Heading4">
    <w:name w:val="heading 4"/>
    <w:basedOn w:val="Normal"/>
    <w:next w:val="Normal"/>
    <w:link w:val="Heading4Char"/>
    <w:uiPriority w:val="9"/>
    <w:unhideWhenUsed/>
    <w:qFormat/>
    <w:rsid w:val="00325F30"/>
    <w:pPr>
      <w:keepNext/>
      <w:keepLines/>
      <w:spacing w:before="40" w:beforeAutospacing="1" w:after="100" w:afterAutospacing="1"/>
      <w:outlineLvl w:val="3"/>
    </w:pPr>
    <w:rPr>
      <w:rFonts w:eastAsia="Times New Roman"/>
      <w:b/>
      <w:bCs/>
      <w:color w:val="1D6232"/>
      <w:lang w:val="en-CA"/>
    </w:rPr>
  </w:style>
  <w:style w:type="paragraph" w:styleId="Heading5">
    <w:name w:val="heading 5"/>
    <w:basedOn w:val="Heading4"/>
    <w:next w:val="Normal"/>
    <w:link w:val="Heading5Char"/>
    <w:uiPriority w:val="9"/>
    <w:unhideWhenUsed/>
    <w:qFormat/>
    <w:rsid w:val="00325F30"/>
    <w:pPr>
      <w:outlineLvl w:val="4"/>
    </w:pPr>
    <w:rPr>
      <w:color w:val="00236D"/>
    </w:rPr>
  </w:style>
  <w:style w:type="paragraph" w:styleId="Heading6">
    <w:name w:val="heading 6"/>
    <w:basedOn w:val="Normal"/>
    <w:next w:val="Normal"/>
    <w:link w:val="Heading6Char"/>
    <w:uiPriority w:val="9"/>
    <w:unhideWhenUsed/>
    <w:qFormat/>
    <w:rsid w:val="00325F30"/>
    <w:pPr>
      <w:keepNext/>
      <w:keepLines/>
      <w:spacing w:before="40" w:beforeAutospacing="1" w:afterAutospacing="1"/>
      <w:outlineLvl w:val="5"/>
    </w:pPr>
    <w:rPr>
      <w:rFonts w:eastAsia="Times New Roman"/>
      <w:i/>
      <w:iCs/>
      <w:color w:val="000000"/>
      <w:lang w:val="en-CA"/>
    </w:rPr>
  </w:style>
  <w:style w:type="paragraph" w:styleId="Heading7">
    <w:name w:val="heading 7"/>
    <w:basedOn w:val="Heading6"/>
    <w:next w:val="Normal"/>
    <w:link w:val="Heading7Char"/>
    <w:uiPriority w:val="9"/>
    <w:unhideWhenUsed/>
    <w:qFormat/>
    <w:rsid w:val="00B418FC"/>
    <w:pPr>
      <w:outlineLvl w:val="6"/>
    </w:pPr>
    <w:rPr>
      <w:color w:val="00236D"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3B8B"/>
    <w:pPr>
      <w:spacing w:before="100" w:beforeAutospacing="1" w:after="100" w:afterAutospacing="1"/>
    </w:pPr>
    <w:rPr>
      <w:rFonts w:ascii="Times New Roman" w:eastAsia="Times New Roman" w:hAnsi="Times New Roman" w:cs="Times New Roman"/>
      <w:lang w:val="en-CA"/>
    </w:rPr>
  </w:style>
  <w:style w:type="character" w:styleId="Strong">
    <w:name w:val="Strong"/>
    <w:uiPriority w:val="22"/>
    <w:qFormat/>
    <w:rsid w:val="00C43B8B"/>
    <w:rPr>
      <w:b/>
      <w:bCs/>
    </w:rPr>
  </w:style>
  <w:style w:type="paragraph" w:styleId="Footer">
    <w:name w:val="footer"/>
    <w:basedOn w:val="Normal"/>
    <w:link w:val="FooterChar"/>
    <w:uiPriority w:val="99"/>
    <w:unhideWhenUsed/>
    <w:rsid w:val="00325F30"/>
    <w:pPr>
      <w:spacing w:before="100" w:beforeAutospacing="1" w:after="100" w:afterAutospacing="1"/>
    </w:pPr>
    <w:rPr>
      <w:rFonts w:eastAsia="Times New Roman"/>
      <w:noProof/>
      <w:color w:val="000000"/>
      <w:lang w:val="en-CA"/>
    </w:rPr>
  </w:style>
  <w:style w:type="character" w:customStyle="1" w:styleId="FooterChar">
    <w:name w:val="Footer Char"/>
    <w:link w:val="Footer"/>
    <w:uiPriority w:val="99"/>
    <w:rsid w:val="00325F30"/>
    <w:rPr>
      <w:rFonts w:ascii="Arial" w:eastAsia="Times New Roman" w:hAnsi="Arial" w:cs="Arial"/>
      <w:noProof/>
      <w:color w:val="00236D"/>
      <w:sz w:val="24"/>
      <w:szCs w:val="24"/>
    </w:rPr>
  </w:style>
  <w:style w:type="paragraph" w:styleId="ListParagraph">
    <w:name w:val="List Paragraph"/>
    <w:basedOn w:val="Normal"/>
    <w:uiPriority w:val="34"/>
    <w:qFormat/>
    <w:rsid w:val="00C43B8B"/>
    <w:pPr>
      <w:spacing w:before="100" w:beforeAutospacing="1" w:after="100" w:afterAutospacing="1"/>
      <w:ind w:left="720"/>
      <w:contextualSpacing/>
    </w:pPr>
    <w:rPr>
      <w:rFonts w:eastAsia="Times New Roman"/>
      <w:color w:val="000000"/>
      <w:lang w:val="en-CA"/>
    </w:rPr>
  </w:style>
  <w:style w:type="character" w:styleId="Hyperlink">
    <w:name w:val="Hyperlink"/>
    <w:uiPriority w:val="99"/>
    <w:unhideWhenUsed/>
    <w:rsid w:val="00325F30"/>
    <w:rPr>
      <w:color w:val="1D6232"/>
      <w:u w:val="single"/>
    </w:rPr>
  </w:style>
  <w:style w:type="paragraph" w:styleId="FootnoteText">
    <w:name w:val="footnote text"/>
    <w:basedOn w:val="Normal"/>
    <w:link w:val="FootnoteTextChar"/>
    <w:uiPriority w:val="99"/>
    <w:semiHidden/>
    <w:unhideWhenUsed/>
    <w:rsid w:val="00A32281"/>
    <w:pPr>
      <w:spacing w:before="100" w:beforeAutospacing="1" w:after="100" w:afterAutospacing="1"/>
    </w:pPr>
    <w:rPr>
      <w:rFonts w:eastAsia="Times New Roman"/>
      <w:color w:val="000000"/>
      <w:sz w:val="20"/>
      <w:lang w:val="en-CA"/>
    </w:rPr>
  </w:style>
  <w:style w:type="character" w:customStyle="1" w:styleId="FootnoteTextChar">
    <w:name w:val="Footnote Text Char"/>
    <w:link w:val="FootnoteText"/>
    <w:uiPriority w:val="99"/>
    <w:semiHidden/>
    <w:rsid w:val="00A32281"/>
    <w:rPr>
      <w:sz w:val="20"/>
      <w:szCs w:val="20"/>
    </w:rPr>
  </w:style>
  <w:style w:type="character" w:styleId="FootnoteReference">
    <w:name w:val="footnote reference"/>
    <w:uiPriority w:val="99"/>
    <w:semiHidden/>
    <w:unhideWhenUsed/>
    <w:rsid w:val="00A32281"/>
    <w:rPr>
      <w:vertAlign w:val="superscript"/>
    </w:rPr>
  </w:style>
  <w:style w:type="paragraph" w:styleId="Header">
    <w:name w:val="header"/>
    <w:basedOn w:val="Normal"/>
    <w:link w:val="HeaderChar"/>
    <w:uiPriority w:val="99"/>
    <w:unhideWhenUsed/>
    <w:rsid w:val="00C43B8B"/>
    <w:pPr>
      <w:tabs>
        <w:tab w:val="center" w:pos="4680"/>
        <w:tab w:val="right" w:pos="9360"/>
      </w:tabs>
      <w:spacing w:beforeAutospacing="1" w:afterAutospacing="1"/>
    </w:pPr>
    <w:rPr>
      <w:rFonts w:eastAsia="Times New Roman"/>
      <w:color w:val="000000"/>
      <w:lang w:val="en-CA"/>
    </w:rPr>
  </w:style>
  <w:style w:type="character" w:customStyle="1" w:styleId="UnresolvedMention1">
    <w:name w:val="Unresolved Mention1"/>
    <w:uiPriority w:val="99"/>
    <w:semiHidden/>
    <w:unhideWhenUsed/>
    <w:rsid w:val="009320D7"/>
    <w:rPr>
      <w:color w:val="605E5C"/>
      <w:shd w:val="clear" w:color="auto" w:fill="E1DFDD"/>
    </w:rPr>
  </w:style>
  <w:style w:type="paragraph" w:customStyle="1" w:styleId="paragraph">
    <w:name w:val="paragraph"/>
    <w:basedOn w:val="Normal"/>
    <w:rsid w:val="00220158"/>
  </w:style>
  <w:style w:type="table" w:styleId="TableGrid">
    <w:name w:val="Table Grid"/>
    <w:basedOn w:val="TableNormal"/>
    <w:uiPriority w:val="39"/>
    <w:rsid w:val="00661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link w:val="Heading1"/>
    <w:uiPriority w:val="9"/>
    <w:rsid w:val="00B418FC"/>
    <w:rPr>
      <w:rFonts w:ascii="Arial" w:eastAsia="Times New Roman" w:hAnsi="Arial" w:cs="Arial"/>
      <w:b/>
      <w:bCs/>
      <w:caps/>
      <w:color w:val="00236D" w:themeColor="text1"/>
      <w:sz w:val="56"/>
      <w:szCs w:val="56"/>
    </w:rPr>
  </w:style>
  <w:style w:type="character" w:customStyle="1" w:styleId="Heading2Char">
    <w:name w:val="Heading 2 Char"/>
    <w:link w:val="Heading2"/>
    <w:uiPriority w:val="9"/>
    <w:rsid w:val="00325F30"/>
    <w:rPr>
      <w:rFonts w:ascii="Arial" w:eastAsia="Times New Roman" w:hAnsi="Arial" w:cs="Arial"/>
      <w:b/>
      <w:bCs/>
      <w:color w:val="288844"/>
      <w:sz w:val="40"/>
      <w:szCs w:val="40"/>
    </w:rPr>
  </w:style>
  <w:style w:type="character" w:customStyle="1" w:styleId="Heading3Char">
    <w:name w:val="Heading 3 Char"/>
    <w:link w:val="Heading3"/>
    <w:uiPriority w:val="9"/>
    <w:rsid w:val="00325F30"/>
    <w:rPr>
      <w:rFonts w:ascii="Arial" w:eastAsia="Times New Roman" w:hAnsi="Arial" w:cs="Times New Roman"/>
      <w:b/>
      <w:color w:val="00236D"/>
      <w:sz w:val="28"/>
      <w:szCs w:val="28"/>
    </w:rPr>
  </w:style>
  <w:style w:type="paragraph" w:styleId="Title">
    <w:name w:val="Title"/>
    <w:basedOn w:val="Heading1"/>
    <w:next w:val="Normal"/>
    <w:link w:val="TitleChar"/>
    <w:uiPriority w:val="10"/>
    <w:qFormat/>
    <w:rsid w:val="00325F30"/>
  </w:style>
  <w:style w:type="character" w:customStyle="1" w:styleId="TitleChar">
    <w:name w:val="Title Char"/>
    <w:link w:val="Title"/>
    <w:uiPriority w:val="10"/>
    <w:rsid w:val="00325F30"/>
    <w:rPr>
      <w:rFonts w:ascii="Arial" w:eastAsia="Times New Roman" w:hAnsi="Arial" w:cs="Arial"/>
      <w:b/>
      <w:bCs/>
      <w:caps/>
      <w:color w:val="00236D"/>
      <w:sz w:val="56"/>
      <w:szCs w:val="56"/>
    </w:rPr>
  </w:style>
  <w:style w:type="character" w:customStyle="1" w:styleId="Heading6Char">
    <w:name w:val="Heading 6 Char"/>
    <w:link w:val="Heading6"/>
    <w:uiPriority w:val="9"/>
    <w:rsid w:val="00325F30"/>
    <w:rPr>
      <w:rFonts w:ascii="Arial" w:eastAsia="Times New Roman" w:hAnsi="Arial" w:cs="Arial"/>
      <w:i/>
      <w:iCs/>
      <w:color w:val="00236D"/>
      <w:sz w:val="24"/>
      <w:szCs w:val="24"/>
    </w:rPr>
  </w:style>
  <w:style w:type="character" w:customStyle="1" w:styleId="HeaderChar">
    <w:name w:val="Header Char"/>
    <w:link w:val="Header"/>
    <w:uiPriority w:val="99"/>
    <w:rsid w:val="00C43B8B"/>
    <w:rPr>
      <w:rFonts w:ascii="Arial" w:eastAsia="Times New Roman" w:hAnsi="Arial" w:cs="Arial"/>
      <w:color w:val="00236D"/>
      <w:sz w:val="24"/>
      <w:szCs w:val="24"/>
    </w:rPr>
  </w:style>
  <w:style w:type="character" w:styleId="Emphasis">
    <w:name w:val="Emphasis"/>
    <w:uiPriority w:val="20"/>
    <w:qFormat/>
    <w:rsid w:val="00367A46"/>
    <w:rPr>
      <w:i/>
      <w:iCs/>
    </w:rPr>
  </w:style>
  <w:style w:type="paragraph" w:styleId="EndnoteText">
    <w:name w:val="endnote text"/>
    <w:basedOn w:val="Normal"/>
    <w:link w:val="EndnoteTextChar"/>
    <w:uiPriority w:val="99"/>
    <w:semiHidden/>
    <w:unhideWhenUsed/>
    <w:rsid w:val="00CE00CD"/>
    <w:pPr>
      <w:spacing w:before="100" w:beforeAutospacing="1" w:after="100" w:afterAutospacing="1"/>
    </w:pPr>
    <w:rPr>
      <w:rFonts w:eastAsia="Times New Roman"/>
      <w:color w:val="000000"/>
      <w:sz w:val="20"/>
      <w:lang w:val="en-CA"/>
    </w:rPr>
  </w:style>
  <w:style w:type="character" w:customStyle="1" w:styleId="EndnoteTextChar">
    <w:name w:val="Endnote Text Char"/>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uiPriority w:val="99"/>
    <w:semiHidden/>
    <w:unhideWhenUsed/>
    <w:rsid w:val="00CE00CD"/>
    <w:rPr>
      <w:vertAlign w:val="superscript"/>
    </w:rPr>
  </w:style>
  <w:style w:type="character" w:styleId="CommentReference">
    <w:name w:val="annotation reference"/>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pPr>
      <w:spacing w:before="100" w:beforeAutospacing="1" w:after="100" w:afterAutospacing="1"/>
    </w:pPr>
    <w:rPr>
      <w:rFonts w:eastAsia="Times New Roman"/>
      <w:color w:val="000000"/>
      <w:sz w:val="20"/>
      <w:lang w:val="en-CA"/>
    </w:rPr>
  </w:style>
  <w:style w:type="character" w:customStyle="1" w:styleId="CommentTextChar">
    <w:name w:val="Comment Text Char"/>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link w:val="CommentSubject"/>
    <w:uiPriority w:val="99"/>
    <w:semiHidden/>
    <w:rsid w:val="00065146"/>
    <w:rPr>
      <w:rFonts w:ascii="Calibri" w:eastAsia="Times New Roman" w:hAnsi="Calibri" w:cs="Times New Roman"/>
      <w:b/>
      <w:bCs/>
      <w:sz w:val="20"/>
      <w:szCs w:val="20"/>
      <w:lang w:val="en-US"/>
    </w:rPr>
  </w:style>
  <w:style w:type="character" w:customStyle="1" w:styleId="UnresolvedMention2">
    <w:name w:val="Unresolved Mention2"/>
    <w:uiPriority w:val="99"/>
    <w:semiHidden/>
    <w:unhideWhenUsed/>
    <w:rsid w:val="00D559E5"/>
    <w:rPr>
      <w:color w:val="605E5C"/>
      <w:shd w:val="clear" w:color="auto" w:fill="E1DFDD"/>
    </w:rPr>
  </w:style>
  <w:style w:type="character" w:styleId="FollowedHyperlink">
    <w:name w:val="FollowedHyperlink"/>
    <w:uiPriority w:val="99"/>
    <w:semiHidden/>
    <w:unhideWhenUsed/>
    <w:rsid w:val="0017287D"/>
    <w:rPr>
      <w:color w:val="00236D"/>
      <w:u w:val="single"/>
    </w:rPr>
  </w:style>
  <w:style w:type="character" w:customStyle="1" w:styleId="Heading4Char">
    <w:name w:val="Heading 4 Char"/>
    <w:link w:val="Heading4"/>
    <w:uiPriority w:val="9"/>
    <w:rsid w:val="00325F30"/>
    <w:rPr>
      <w:rFonts w:ascii="Arial" w:eastAsia="Times New Roman" w:hAnsi="Arial" w:cs="Arial"/>
      <w:b/>
      <w:bCs/>
      <w:color w:val="1D6232"/>
      <w:sz w:val="24"/>
      <w:szCs w:val="24"/>
    </w:rPr>
  </w:style>
  <w:style w:type="character" w:customStyle="1" w:styleId="Heading5Char">
    <w:name w:val="Heading 5 Char"/>
    <w:link w:val="Heading5"/>
    <w:uiPriority w:val="9"/>
    <w:rsid w:val="00325F30"/>
    <w:rPr>
      <w:rFonts w:ascii="Arial" w:eastAsia="Times New Roman" w:hAnsi="Arial" w:cs="Arial"/>
      <w:b/>
      <w:bCs/>
      <w:color w:val="00236D"/>
      <w:sz w:val="24"/>
      <w:szCs w:val="24"/>
    </w:rPr>
  </w:style>
  <w:style w:type="character" w:styleId="UnresolvedMention">
    <w:name w:val="Unresolved Mention"/>
    <w:uiPriority w:val="99"/>
    <w:semiHidden/>
    <w:unhideWhenUsed/>
    <w:rsid w:val="008E6DC2"/>
    <w:rPr>
      <w:color w:val="605E5C"/>
      <w:shd w:val="clear" w:color="auto" w:fill="E1DFDD"/>
    </w:rPr>
  </w:style>
  <w:style w:type="character" w:customStyle="1" w:styleId="Heading7Char">
    <w:name w:val="Heading 7 Char"/>
    <w:basedOn w:val="DefaultParagraphFont"/>
    <w:link w:val="Heading7"/>
    <w:uiPriority w:val="9"/>
    <w:rsid w:val="00B418FC"/>
    <w:rPr>
      <w:rFonts w:ascii="Arial" w:eastAsia="Times New Roman" w:hAnsi="Arial" w:cs="Arial"/>
      <w:i/>
      <w:iCs/>
      <w:color w:val="00236D" w:themeColor="text1"/>
      <w:sz w:val="24"/>
      <w:szCs w:val="24"/>
    </w:rPr>
  </w:style>
  <w:style w:type="character" w:styleId="PageNumber">
    <w:name w:val="page number"/>
    <w:basedOn w:val="DefaultParagraphFont"/>
    <w:uiPriority w:val="99"/>
    <w:semiHidden/>
    <w:unhideWhenUsed/>
    <w:rsid w:val="00853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s://www.fightingblindness.ca/" TargetMode="External"/><Relationship Id="rId1" Type="http://schemas.openxmlformats.org/officeDocument/2006/relationships/hyperlink" Target="mailto:info@fightingblindness.ca"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04%20-%20Communications\02%20-%20Brand%20Materials\Brand%20Tools%20&amp;%20Materials%202026\FBC_2026_Word_Template_English_FINAL.dotx" TargetMode="External"/></Relationships>
</file>

<file path=word/theme/theme1.xml><?xml version="1.0" encoding="utf-8"?>
<a:theme xmlns:a="http://schemas.openxmlformats.org/drawingml/2006/main" name="Office Theme">
  <a:themeElements>
    <a:clrScheme name="FBC 2026">
      <a:dk1>
        <a:srgbClr val="00236D"/>
      </a:dk1>
      <a:lt1>
        <a:srgbClr val="FFFFFF"/>
      </a:lt1>
      <a:dk2>
        <a:srgbClr val="00236D"/>
      </a:dk2>
      <a:lt2>
        <a:srgbClr val="FFFFFF"/>
      </a:lt2>
      <a:accent1>
        <a:srgbClr val="1D6232"/>
      </a:accent1>
      <a:accent2>
        <a:srgbClr val="FF4600"/>
      </a:accent2>
      <a:accent3>
        <a:srgbClr val="FFB600"/>
      </a:accent3>
      <a:accent4>
        <a:srgbClr val="EC008B"/>
      </a:accent4>
      <a:accent5>
        <a:srgbClr val="7000B2"/>
      </a:accent5>
      <a:accent6>
        <a:srgbClr val="2B373E"/>
      </a:accent6>
      <a:hlink>
        <a:srgbClr val="1D6232"/>
      </a:hlink>
      <a:folHlink>
        <a:srgbClr val="00236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2.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4.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FBC_2026_Word_Template_English_FINAL</Template>
  <TotalTime>10</TotalTime>
  <Pages>10</Pages>
  <Words>3181</Words>
  <Characters>18133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Parry</dc:creator>
  <cp:keywords/>
  <dc:description/>
  <cp:lastModifiedBy>Richenne Macaranas</cp:lastModifiedBy>
  <cp:revision>7</cp:revision>
  <cp:lastPrinted>2019-06-07T18:48:00Z</cp:lastPrinted>
  <dcterms:created xsi:type="dcterms:W3CDTF">2026-05-05T21:15:00Z</dcterms:created>
  <dcterms:modified xsi:type="dcterms:W3CDTF">2026-05-21T14:54:00Z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